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9FCF5">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0288" behindDoc="1" locked="0" layoutInCell="1" allowOverlap="1">
                <wp:simplePos x="0" y="0"/>
                <wp:positionH relativeFrom="column">
                  <wp:posOffset>33655</wp:posOffset>
                </wp:positionH>
                <wp:positionV relativeFrom="paragraph">
                  <wp:posOffset>873125</wp:posOffset>
                </wp:positionV>
                <wp:extent cx="5272405" cy="3810"/>
                <wp:effectExtent l="0" t="0" r="0" b="0"/>
                <wp:wrapNone/>
                <wp:docPr id="9" name="直接连接符 9"/>
                <wp:cNvGraphicFramePr/>
                <a:graphic xmlns:a="http://schemas.openxmlformats.org/drawingml/2006/main">
                  <a:graphicData uri="http://schemas.microsoft.com/office/word/2010/wordprocessingShape">
                    <wps:wsp>
                      <wps:cNvCnPr/>
                      <wps:spPr>
                        <a:xfrm>
                          <a:off x="0" y="0"/>
                          <a:ext cx="527240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65pt;margin-top:68.75pt;height:0.3pt;width:415.15pt;z-index:-251656192;mso-width-relative:page;mso-height-relative:page;" filled="f" stroked="t" coordsize="21600,21600" o:gfxdata="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gjO9zXAAAACQEAAA8AAAAAAAAAAQAgAAAAIgAAAGRycy9kb3ducmV2LnhtbFBLAQIUABQAAAAI&#10;AIdO4kBptR0R7gEAALUDAAAOAAAAAAAAAAEAIAAAACYBAABkcnMvZTJvRG9jLnhtbFBLBQYAAAAA&#10;BgAGAFkBAACGBQAAAAA=&#10;">
                <v:fill on="f" focussize="0,0"/>
                <v:stroke weight="1.5pt" color="#4472C4 [3204]" miterlimit="8" joinstyle="miter"/>
                <v:imagedata o:title=""/>
                <o:lock v:ext="edit" aspectratio="f"/>
              </v:line>
            </w:pict>
          </mc:Fallback>
        </mc:AlternateContent>
      </w:r>
      <w:r>
        <w:rPr>
          <w:sz w:val="30"/>
        </w:rPr>
        <mc:AlternateContent>
          <mc:Choice Requires="wps">
            <w:drawing>
              <wp:anchor distT="0" distB="0" distL="114300" distR="114300" simplePos="0" relativeHeight="251661312" behindDoc="0" locked="0" layoutInCell="1" allowOverlap="1">
                <wp:simplePos x="0" y="0"/>
                <wp:positionH relativeFrom="column">
                  <wp:posOffset>1743075</wp:posOffset>
                </wp:positionH>
                <wp:positionV relativeFrom="paragraph">
                  <wp:posOffset>3050540</wp:posOffset>
                </wp:positionV>
                <wp:extent cx="1828800" cy="1828800"/>
                <wp:effectExtent l="0" t="0" r="0" b="0"/>
                <wp:wrapTopAndBottom/>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0CDB1F">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HX-IID超声波细胞粉碎机</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37.25pt;margin-top:240.2pt;height:144pt;width:144pt;mso-wrap-distance-bottom:0pt;mso-wrap-distance-top:0pt;mso-wrap-style:none;z-index:251661312;mso-width-relative:page;mso-height-relative:page;" filled="f" stroked="f" coordsize="21600,21600" o:gfxdata="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r+44zaAAAACwEAAA8AAAAAAAAAAQAgAAAAIgAAAGRycy9kb3du&#10;cmV2LnhtbFBLAQIUABQAAAAIAIdO4kAifS+2NgIAAGUEAAAOAAAAAAAAAAEAIAAAACkBAABkcnMv&#10;ZTJvRG9jLnhtbFBLBQYAAAAABgAGAFkBAADRBQAAAAA=&#10;">
                <v:fill on="f" focussize="0,0"/>
                <v:stroke on="f" weight="0.5pt"/>
                <v:imagedata o:title=""/>
                <o:lock v:ext="edit" aspectratio="f"/>
                <v:textbox style="mso-fit-shape-to-text:t;">
                  <w:txbxContent>
                    <w:p w14:paraId="5B0CDB1F">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HX-IID超声波细胞粉碎机</w:t>
                      </w:r>
                    </w:p>
                  </w:txbxContent>
                </v:textbox>
                <w10:wrap type="topAndBottom"/>
              </v:shape>
            </w:pict>
          </mc:Fallback>
        </mc:AlternateContent>
      </w:r>
      <w:r>
        <w:rPr>
          <w:rFonts w:hint="eastAsia" w:ascii="宋体" w:hAnsi="宋体"/>
          <w:b/>
          <w:color w:val="2F5597" w:themeColor="accent1" w:themeShade="BF"/>
          <w:sz w:val="30"/>
          <w:szCs w:val="30"/>
          <w14:shadow w14:blurRad="38100" w14:dist="25400" w14:dir="5400000" w14:sx="100000" w14:sy="100000" w14:kx="0" w14:ky="0" w14:algn="ctr">
            <w14:srgbClr w14:val="6E747A">
              <w14:alpha w14:val="57000"/>
            </w14:srgbClr>
          </w14:shadow>
          <w14:props3d w14:extrusionH="0" w14:contourW="0" w14:prstMaterial="clear"/>
        </w:rPr>
        <w:drawing>
          <wp:anchor distT="0" distB="0" distL="114300" distR="114300" simplePos="0" relativeHeight="251662336" behindDoc="0" locked="0" layoutInCell="1" allowOverlap="1">
            <wp:simplePos x="0" y="0"/>
            <wp:positionH relativeFrom="column">
              <wp:posOffset>1358900</wp:posOffset>
            </wp:positionH>
            <wp:positionV relativeFrom="paragraph">
              <wp:posOffset>47625</wp:posOffset>
            </wp:positionV>
            <wp:extent cx="2919095" cy="2919095"/>
            <wp:effectExtent l="0" t="0" r="1905" b="1905"/>
            <wp:wrapTopAndBottom/>
            <wp:docPr id="2" name="图片 2" descr="主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主图"/>
                    <pic:cNvPicPr>
                      <a:picLocks noChangeAspect="1"/>
                    </pic:cNvPicPr>
                  </pic:nvPicPr>
                  <pic:blipFill>
                    <a:blip r:embed="rId6"/>
                    <a:stretch>
                      <a:fillRect/>
                    </a:stretch>
                  </pic:blipFill>
                  <pic:spPr>
                    <a:xfrm>
                      <a:off x="0" y="0"/>
                      <a:ext cx="2919095" cy="2919095"/>
                    </a:xfrm>
                    <a:prstGeom prst="rect">
                      <a:avLst/>
                    </a:prstGeom>
                  </pic:spPr>
                </pic:pic>
              </a:graphicData>
            </a:graphic>
          </wp:anchor>
        </w:drawing>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1、产品</w:t>
      </w:r>
      <w:r>
        <w:rPr>
          <w:rFonts w:hint="eastAsia"/>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应用</w:t>
      </w:r>
    </w:p>
    <w:p w14:paraId="169B493B">
      <w:pPr>
        <w:widowControl/>
        <w:shd w:val="clear" w:color="auto" w:fill="FFFFFF"/>
        <w:spacing w:line="360" w:lineRule="auto"/>
        <w:ind w:firstLine="480" w:firstLineChars="200"/>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超声波细胞粉碎机（破碎仪或超声波裂解器）是一种利用强超声在液体中产生空化效应，对物质进行超声处理的多功能、多用途的仪器，能用于多种动植物细胞、病毒细胞的破碎，同时可用来乳化、分离、提取、消泡、脱气、清洗及加速化学反应等等。被应用于生物化学、微生物学、药物化学、表面化学、物理学、动物学、农学、制药等领域的教学、科研及生产。</w:t>
      </w:r>
    </w:p>
    <w:p w14:paraId="67C9EEB2">
      <w:pPr>
        <w:adjustRightInd w:val="0"/>
        <w:spacing w:line="360" w:lineRule="auto"/>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p>
    <w:p w14:paraId="2E62F20A">
      <w:pPr>
        <w:adjustRightInd w:val="0"/>
        <w:spacing w:line="360" w:lineRule="auto"/>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59264" behindDoc="1" locked="0" layoutInCell="1" allowOverlap="1">
                <wp:simplePos x="0" y="0"/>
                <wp:positionH relativeFrom="column">
                  <wp:posOffset>-20320</wp:posOffset>
                </wp:positionH>
                <wp:positionV relativeFrom="paragraph">
                  <wp:posOffset>375285</wp:posOffset>
                </wp:positionV>
                <wp:extent cx="5291455" cy="381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29145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6pt;margin-top:29.55pt;height:0.3pt;width:416.65pt;z-index:-251657216;mso-width-relative:page;mso-height-relative:page;" filled="f" stroked="t" coordsize="21600,21600" o:gfxdata="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ZUqJK1gAAAAgBAAAPAAAAAAAAAAEAIAAAACIAAABkcnMvZG93bnJldi54bWxQSwEC&#10;FAAUAAAACACHTuJAkBXpMvYBAAC/AwAADgAAAAAAAAABACAAAAAlAQAAZHJzL2Uyb0RvYy54bWxQ&#10;SwUGAAAAAAYABgBZAQAAjQ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2、产品特点</w:t>
      </w:r>
    </w:p>
    <w:p w14:paraId="6E466E29">
      <w:pPr>
        <w:widowControl/>
        <w:numPr>
          <w:ilvl w:val="0"/>
          <w:numId w:val="1"/>
        </w:numPr>
        <w:shd w:val="clear" w:color="auto" w:fill="FFFFFF"/>
        <w:spacing w:line="360" w:lineRule="auto"/>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功能全，外观美，性能可靠，采用最新单片机技术+4.3寸TFT电容触摸屏控制（可以选配7寸），可选配电脑通讯或数据打印等功能</w:t>
      </w:r>
    </w:p>
    <w:p w14:paraId="11A12C34">
      <w:pPr>
        <w:widowControl/>
        <w:numPr>
          <w:ilvl w:val="0"/>
          <w:numId w:val="1"/>
        </w:numPr>
        <w:shd w:val="clear" w:color="auto" w:fill="FFFFFF"/>
        <w:spacing w:line="360" w:lineRule="auto"/>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智能化程度高，中央微机集中控制，超声时间，功率可从1%-100%设定</w:t>
      </w:r>
    </w:p>
    <w:p w14:paraId="3E876D53">
      <w:pPr>
        <w:widowControl/>
        <w:numPr>
          <w:ilvl w:val="0"/>
          <w:numId w:val="1"/>
        </w:numPr>
        <w:shd w:val="clear" w:color="auto" w:fill="FFFFFF"/>
        <w:spacing w:line="360" w:lineRule="auto"/>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样品温度检测显示、频率微机自动跟踪、故障自动报警</w:t>
      </w:r>
    </w:p>
    <w:p w14:paraId="11B6E857">
      <w:pPr>
        <w:widowControl/>
        <w:numPr>
          <w:ilvl w:val="0"/>
          <w:numId w:val="1"/>
        </w:numPr>
        <w:shd w:val="clear" w:color="auto" w:fill="FFFFFF"/>
        <w:spacing w:line="360" w:lineRule="auto"/>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配套隔音箱一台，降低噪音百分之七十以上</w:t>
      </w:r>
    </w:p>
    <w:p w14:paraId="7D695D5C">
      <w:pPr>
        <w:widowControl/>
        <w:numPr>
          <w:ilvl w:val="0"/>
          <w:numId w:val="1"/>
        </w:numPr>
        <w:shd w:val="clear" w:color="auto" w:fill="FFFFFF"/>
        <w:spacing w:line="360" w:lineRule="auto"/>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配套美铝7075换能器+高纯度钛合金变幅杆一套，工业型的变幅杆可连续实现超声一小时以上（是要高纯度的钛合金才可以实现）</w:t>
      </w:r>
    </w:p>
    <w:p w14:paraId="3B1DB904">
      <w:pPr>
        <w:widowControl/>
        <w:numPr>
          <w:ilvl w:val="0"/>
          <w:numId w:val="1"/>
        </w:numPr>
        <w:shd w:val="clear" w:color="auto" w:fill="FFFFFF"/>
        <w:spacing w:line="360" w:lineRule="auto"/>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带有过载保护功能及变幅杆未浸入液体中会自动保护变幅杆不受损坏</w:t>
      </w:r>
    </w:p>
    <w:p w14:paraId="4CEDF29C">
      <w:pPr>
        <w:widowControl/>
        <w:numPr>
          <w:ilvl w:val="0"/>
          <w:numId w:val="1"/>
        </w:numPr>
        <w:shd w:val="clear" w:color="auto" w:fill="FFFFFF"/>
        <w:spacing w:line="360" w:lineRule="auto"/>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可实现故障、超温或操作失误等引起的语音报警功能，更加的人性化</w:t>
      </w:r>
    </w:p>
    <w:p w14:paraId="3F2585A6">
      <w:pPr>
        <w:widowControl/>
        <w:shd w:val="clear" w:color="auto" w:fill="FFFFFF"/>
        <w:spacing w:line="360" w:lineRule="auto"/>
        <w:ind w:firstLine="480" w:firstLineChars="200"/>
        <w:jc w:val="left"/>
        <w:rPr>
          <w:rFonts w:ascii="宋体" w:hAnsi="宋体" w:cs="宋体"/>
          <w:color w:val="2F5597" w:themeColor="accent1" w:themeShade="BF"/>
          <w:sz w:val="24"/>
          <w:szCs w:val="24"/>
        </w:rPr>
      </w:pPr>
    </w:p>
    <w:p w14:paraId="399DE330">
      <w:pPr>
        <w:pStyle w:val="10"/>
        <w:numPr>
          <w:ilvl w:val="0"/>
          <w:numId w:val="2"/>
        </w:numPr>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技术参数</w:t>
      </w:r>
    </w:p>
    <w:tbl>
      <w:tblPr>
        <w:tblStyle w:val="12"/>
        <w:tblW w:w="8596" w:type="dxa"/>
        <w:tblInd w:w="0" w:type="dxa"/>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4261"/>
        <w:gridCol w:w="4335"/>
      </w:tblGrid>
      <w:tr w14:paraId="3244A26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shd w:val="clear" w:color="auto" w:fill="FFFFFF" w:themeFill="background1"/>
            <w:vAlign w:val="center"/>
          </w:tcPr>
          <w:p w14:paraId="736E9D07">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型号</w:t>
            </w:r>
          </w:p>
        </w:tc>
        <w:tc>
          <w:tcPr>
            <w:tcW w:w="4335" w:type="dxa"/>
            <w:tcBorders>
              <w:tl2br w:val="nil"/>
              <w:tr2bl w:val="nil"/>
            </w:tcBorders>
            <w:shd w:val="clear" w:color="auto" w:fill="FFFFFF" w:themeFill="background1"/>
            <w:vAlign w:val="center"/>
          </w:tcPr>
          <w:p w14:paraId="4DF9420A">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HX-IID</w:t>
            </w:r>
          </w:p>
        </w:tc>
      </w:tr>
      <w:tr w14:paraId="478288F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shd w:val="clear" w:color="auto" w:fill="FFFFFF" w:themeFill="background1"/>
            <w:vAlign w:val="center"/>
          </w:tcPr>
          <w:p w14:paraId="695C652E">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货号</w:t>
            </w:r>
          </w:p>
        </w:tc>
        <w:tc>
          <w:tcPr>
            <w:tcW w:w="4335" w:type="dxa"/>
            <w:tcBorders>
              <w:tl2br w:val="nil"/>
              <w:tr2bl w:val="nil"/>
            </w:tcBorders>
            <w:shd w:val="clear" w:color="auto" w:fill="FFFFFF" w:themeFill="background1"/>
            <w:vAlign w:val="center"/>
          </w:tcPr>
          <w:p w14:paraId="752D79BC">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fldChar w:fldCharType="begin"/>
            </w:r>
            <w:r>
              <w:rPr>
                <w:rStyle w:val="15"/>
                <w:rFonts w:hint="eastAsia" w:ascii="宋体" w:hAnsi="宋体" w:cs="宋体"/>
                <w:b w:val="0"/>
                <w:bCs w:val="0"/>
                <w:color w:val="2F5597" w:themeColor="accent1" w:themeShade="BF"/>
                <w:kern w:val="0"/>
                <w:sz w:val="24"/>
                <w:szCs w:val="24"/>
                <w:shd w:val="clear" w:color="auto" w:fill="FFFFFF"/>
                <w:lang w:bidi="ar"/>
              </w:rPr>
              <w:instrText xml:space="preserve"> HYPERLINK "javascript:void(0)" </w:instrText>
            </w:r>
            <w:r>
              <w:rPr>
                <w:rStyle w:val="15"/>
                <w:rFonts w:hint="eastAsia" w:ascii="宋体" w:hAnsi="宋体" w:cs="宋体"/>
                <w:b w:val="0"/>
                <w:bCs w:val="0"/>
                <w:color w:val="2F5597" w:themeColor="accent1" w:themeShade="BF"/>
                <w:kern w:val="0"/>
                <w:sz w:val="24"/>
                <w:szCs w:val="24"/>
                <w:shd w:val="clear" w:color="auto" w:fill="FFFFFF"/>
                <w:lang w:bidi="ar"/>
              </w:rPr>
              <w:fldChar w:fldCharType="separate"/>
            </w:r>
            <w:r>
              <w:rPr>
                <w:rStyle w:val="15"/>
                <w:rFonts w:hint="eastAsia" w:ascii="宋体" w:hAnsi="宋体" w:cs="宋体"/>
                <w:b w:val="0"/>
                <w:bCs w:val="0"/>
                <w:color w:val="2F5597" w:themeColor="accent1" w:themeShade="BF"/>
                <w:kern w:val="0"/>
                <w:sz w:val="24"/>
                <w:szCs w:val="24"/>
                <w:shd w:val="clear" w:color="auto" w:fill="FFFFFF"/>
                <w:lang w:bidi="ar"/>
              </w:rPr>
              <w:t>1008007001</w:t>
            </w:r>
            <w:r>
              <w:rPr>
                <w:rStyle w:val="15"/>
                <w:rFonts w:hint="eastAsia" w:ascii="宋体" w:hAnsi="宋体" w:cs="宋体"/>
                <w:b w:val="0"/>
                <w:bCs w:val="0"/>
                <w:color w:val="2F5597" w:themeColor="accent1" w:themeShade="BF"/>
                <w:kern w:val="0"/>
                <w:sz w:val="24"/>
                <w:szCs w:val="24"/>
                <w:shd w:val="clear" w:color="auto" w:fill="FFFFFF"/>
                <w:lang w:bidi="ar"/>
              </w:rPr>
              <w:fldChar w:fldCharType="end"/>
            </w:r>
          </w:p>
        </w:tc>
      </w:tr>
      <w:tr w14:paraId="37B3D07A">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shd w:val="clear" w:color="auto" w:fill="FFFFFF" w:themeFill="background1"/>
            <w:vAlign w:val="center"/>
          </w:tcPr>
          <w:p w14:paraId="1CC9F200">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功率</w:t>
            </w:r>
          </w:p>
        </w:tc>
        <w:tc>
          <w:tcPr>
            <w:tcW w:w="4335" w:type="dxa"/>
            <w:tcBorders>
              <w:tl2br w:val="nil"/>
              <w:tr2bl w:val="nil"/>
            </w:tcBorders>
            <w:shd w:val="clear" w:color="auto" w:fill="FFFFFF" w:themeFill="background1"/>
            <w:vAlign w:val="center"/>
          </w:tcPr>
          <w:p w14:paraId="26212596">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10-1000W连续可调</w:t>
            </w:r>
          </w:p>
        </w:tc>
      </w:tr>
      <w:tr w14:paraId="240F405F">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shd w:val="clear" w:color="auto" w:fill="FFFFFF" w:themeFill="background1"/>
            <w:vAlign w:val="center"/>
          </w:tcPr>
          <w:p w14:paraId="29A655F5">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破碎容量</w:t>
            </w:r>
          </w:p>
        </w:tc>
        <w:tc>
          <w:tcPr>
            <w:tcW w:w="4335" w:type="dxa"/>
            <w:tcBorders>
              <w:tl2br w:val="nil"/>
              <w:tr2bl w:val="nil"/>
            </w:tcBorders>
            <w:shd w:val="clear" w:color="auto" w:fill="FFFFFF" w:themeFill="background1"/>
            <w:vAlign w:val="center"/>
          </w:tcPr>
          <w:p w14:paraId="206FF5E4">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0.1-750ML(需选配相应的变幅杆)</w:t>
            </w:r>
          </w:p>
        </w:tc>
      </w:tr>
      <w:tr w14:paraId="7470D14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shd w:val="clear" w:color="auto" w:fill="FFFFFF" w:themeFill="background1"/>
            <w:vAlign w:val="center"/>
          </w:tcPr>
          <w:p w14:paraId="36CD7EED">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显示方式</w:t>
            </w:r>
          </w:p>
        </w:tc>
        <w:tc>
          <w:tcPr>
            <w:tcW w:w="4335" w:type="dxa"/>
            <w:tcBorders>
              <w:tl2br w:val="nil"/>
              <w:tr2bl w:val="nil"/>
            </w:tcBorders>
            <w:shd w:val="clear" w:color="auto" w:fill="FFFFFF" w:themeFill="background1"/>
            <w:vAlign w:val="center"/>
          </w:tcPr>
          <w:p w14:paraId="740E3468">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真彩电容触摸屏显示</w:t>
            </w:r>
          </w:p>
        </w:tc>
      </w:tr>
      <w:tr w14:paraId="2673ECE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14:paraId="05B0A895">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单次超声时间</w:t>
            </w:r>
          </w:p>
        </w:tc>
        <w:tc>
          <w:tcPr>
            <w:tcW w:w="4335" w:type="dxa"/>
            <w:tcBorders>
              <w:tl2br w:val="nil"/>
              <w:tr2bl w:val="nil"/>
            </w:tcBorders>
            <w:vAlign w:val="center"/>
          </w:tcPr>
          <w:p w14:paraId="30A6B18F">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0.1-99.9S</w:t>
            </w:r>
          </w:p>
        </w:tc>
      </w:tr>
      <w:tr w14:paraId="78AFA729">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14:paraId="23C875C3">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单次间隙时间</w:t>
            </w:r>
          </w:p>
        </w:tc>
        <w:tc>
          <w:tcPr>
            <w:tcW w:w="4335" w:type="dxa"/>
            <w:tcBorders>
              <w:tl2br w:val="nil"/>
              <w:tr2bl w:val="nil"/>
            </w:tcBorders>
            <w:vAlign w:val="center"/>
          </w:tcPr>
          <w:p w14:paraId="4CDDAFF7">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0.1-99.9S</w:t>
            </w:r>
          </w:p>
        </w:tc>
      </w:tr>
      <w:tr w14:paraId="56032E1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14:paraId="59C6B035">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总时间（超声+间隙）</w:t>
            </w:r>
          </w:p>
        </w:tc>
        <w:tc>
          <w:tcPr>
            <w:tcW w:w="4335" w:type="dxa"/>
            <w:tcBorders>
              <w:tl2br w:val="nil"/>
              <w:tr2bl w:val="nil"/>
            </w:tcBorders>
            <w:vAlign w:val="center"/>
          </w:tcPr>
          <w:p w14:paraId="016C47C1">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1-99H59M59S</w:t>
            </w:r>
          </w:p>
        </w:tc>
      </w:tr>
      <w:tr w14:paraId="1CAB7E19">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14:paraId="0BC500DC">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频率范围</w:t>
            </w:r>
          </w:p>
        </w:tc>
        <w:tc>
          <w:tcPr>
            <w:tcW w:w="4335" w:type="dxa"/>
            <w:tcBorders>
              <w:tl2br w:val="nil"/>
              <w:tr2bl w:val="nil"/>
            </w:tcBorders>
            <w:vAlign w:val="center"/>
          </w:tcPr>
          <w:p w14:paraId="44DD2CE2">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20-25KHz</w:t>
            </w:r>
          </w:p>
        </w:tc>
      </w:tr>
      <w:tr w14:paraId="25EA32C5">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14:paraId="7576FEA0">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温控范围</w:t>
            </w:r>
          </w:p>
        </w:tc>
        <w:tc>
          <w:tcPr>
            <w:tcW w:w="4335" w:type="dxa"/>
            <w:tcBorders>
              <w:tl2br w:val="nil"/>
              <w:tr2bl w:val="nil"/>
            </w:tcBorders>
            <w:vAlign w:val="center"/>
          </w:tcPr>
          <w:p w14:paraId="2EFC0F87">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0-100度（可选配低温恒温）</w:t>
            </w:r>
          </w:p>
        </w:tc>
      </w:tr>
      <w:tr w14:paraId="6543179B">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14:paraId="67510522">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报警功能</w:t>
            </w:r>
          </w:p>
        </w:tc>
        <w:tc>
          <w:tcPr>
            <w:tcW w:w="4335" w:type="dxa"/>
            <w:tcBorders>
              <w:tl2br w:val="nil"/>
              <w:tr2bl w:val="nil"/>
            </w:tcBorders>
            <w:vAlign w:val="center"/>
          </w:tcPr>
          <w:p w14:paraId="18D590E1">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时间、过载、空载、超温</w:t>
            </w:r>
          </w:p>
        </w:tc>
      </w:tr>
      <w:tr w14:paraId="76632399">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9" w:hRule="exact"/>
        </w:trPr>
        <w:tc>
          <w:tcPr>
            <w:tcW w:w="4261" w:type="dxa"/>
            <w:tcBorders>
              <w:tl2br w:val="nil"/>
              <w:tr2bl w:val="nil"/>
            </w:tcBorders>
            <w:vAlign w:val="center"/>
          </w:tcPr>
          <w:p w14:paraId="4B3F7CED">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可选配变幅杆</w:t>
            </w:r>
          </w:p>
        </w:tc>
        <w:tc>
          <w:tcPr>
            <w:tcW w:w="4335" w:type="dxa"/>
            <w:tcBorders>
              <w:tl2br w:val="nil"/>
              <w:tr2bl w:val="nil"/>
            </w:tcBorders>
            <w:vAlign w:val="center"/>
          </w:tcPr>
          <w:p w14:paraId="4A8F10C4">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Φ2、3、6、8、10、12（mm）</w:t>
            </w:r>
          </w:p>
        </w:tc>
      </w:tr>
      <w:tr w14:paraId="4AAF9F8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14:paraId="21936689">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随机变幅杆</w:t>
            </w:r>
          </w:p>
        </w:tc>
        <w:tc>
          <w:tcPr>
            <w:tcW w:w="4335" w:type="dxa"/>
            <w:tcBorders>
              <w:tl2br w:val="nil"/>
              <w:tr2bl w:val="nil"/>
            </w:tcBorders>
            <w:vAlign w:val="center"/>
          </w:tcPr>
          <w:p w14:paraId="4759D9F3">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Φ6</w:t>
            </w:r>
          </w:p>
        </w:tc>
      </w:tr>
      <w:tr w14:paraId="72F7461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14:paraId="3A02E2A1">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数据储存</w:t>
            </w:r>
          </w:p>
        </w:tc>
        <w:tc>
          <w:tcPr>
            <w:tcW w:w="4335" w:type="dxa"/>
            <w:tcBorders>
              <w:tl2br w:val="nil"/>
              <w:tr2bl w:val="nil"/>
            </w:tcBorders>
            <w:vAlign w:val="center"/>
          </w:tcPr>
          <w:p w14:paraId="356F5155">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20组</w:t>
            </w:r>
          </w:p>
        </w:tc>
      </w:tr>
      <w:tr w14:paraId="574B4FA0">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14:paraId="1D20C4E7">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电源（可选配110V)</w:t>
            </w:r>
          </w:p>
        </w:tc>
        <w:tc>
          <w:tcPr>
            <w:tcW w:w="4335" w:type="dxa"/>
            <w:tcBorders>
              <w:tl2br w:val="nil"/>
              <w:tr2bl w:val="nil"/>
            </w:tcBorders>
            <w:vAlign w:val="center"/>
          </w:tcPr>
          <w:p w14:paraId="7D32D96D">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220V/110V/ 50Hz/60HZ</w:t>
            </w:r>
          </w:p>
        </w:tc>
      </w:tr>
      <w:tr w14:paraId="16CC6E47">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14:paraId="17CF353C">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控制方式</w:t>
            </w:r>
          </w:p>
        </w:tc>
        <w:tc>
          <w:tcPr>
            <w:tcW w:w="4335" w:type="dxa"/>
            <w:tcBorders>
              <w:tl2br w:val="nil"/>
              <w:tr2bl w:val="nil"/>
            </w:tcBorders>
            <w:vAlign w:val="center"/>
          </w:tcPr>
          <w:p w14:paraId="0658527B">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单片机+TFT触控</w:t>
            </w:r>
          </w:p>
        </w:tc>
      </w:tr>
      <w:tr w14:paraId="7DE353CD">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79" w:hRule="exact"/>
        </w:trPr>
        <w:tc>
          <w:tcPr>
            <w:tcW w:w="4261" w:type="dxa"/>
            <w:tcBorders>
              <w:tl2br w:val="nil"/>
              <w:tr2bl w:val="nil"/>
            </w:tcBorders>
            <w:vAlign w:val="center"/>
          </w:tcPr>
          <w:p w14:paraId="6F09DE55">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可选配功能</w:t>
            </w:r>
          </w:p>
        </w:tc>
        <w:tc>
          <w:tcPr>
            <w:tcW w:w="4335" w:type="dxa"/>
            <w:tcBorders>
              <w:tl2br w:val="nil"/>
              <w:tr2bl w:val="nil"/>
            </w:tcBorders>
            <w:vAlign w:val="center"/>
          </w:tcPr>
          <w:p w14:paraId="4126FC09">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电脑通讯+数据打印+隔音箱照明或灭菌</w:t>
            </w:r>
          </w:p>
          <w:p w14:paraId="3F318AA8">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p>
        </w:tc>
      </w:tr>
      <w:tr w14:paraId="172A47F0">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14:paraId="319326A3">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语音报警和提示功能</w:t>
            </w:r>
          </w:p>
        </w:tc>
        <w:tc>
          <w:tcPr>
            <w:tcW w:w="4335" w:type="dxa"/>
            <w:tcBorders>
              <w:tl2br w:val="nil"/>
              <w:tr2bl w:val="nil"/>
            </w:tcBorders>
            <w:vAlign w:val="center"/>
          </w:tcPr>
          <w:p w14:paraId="64CB791A">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有</w:t>
            </w:r>
          </w:p>
        </w:tc>
      </w:tr>
      <w:tr w14:paraId="5422D837">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794" w:hRule="exact"/>
        </w:trPr>
        <w:tc>
          <w:tcPr>
            <w:tcW w:w="4261" w:type="dxa"/>
            <w:tcBorders>
              <w:tl2br w:val="nil"/>
              <w:tr2bl w:val="nil"/>
            </w:tcBorders>
            <w:vAlign w:val="center"/>
          </w:tcPr>
          <w:p w14:paraId="049A78C4">
            <w:pPr>
              <w:widowControl/>
              <w:shd w:val="clear" w:color="auto" w:fill="FFFFFF"/>
              <w:jc w:val="center"/>
              <w:textAlignment w:val="center"/>
              <w:rPr>
                <w:rStyle w:val="15"/>
                <w:rFonts w:hint="default"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仪器尺寸</w:t>
            </w:r>
            <w:r>
              <w:rPr>
                <w:rStyle w:val="15"/>
                <w:rFonts w:hint="eastAsia" w:ascii="宋体" w:hAnsi="宋体" w:cs="宋体"/>
                <w:b w:val="0"/>
                <w:bCs w:val="0"/>
                <w:color w:val="2F5597" w:themeColor="accent1" w:themeShade="BF"/>
                <w:kern w:val="0"/>
                <w:sz w:val="24"/>
                <w:szCs w:val="24"/>
                <w:shd w:val="clear" w:color="auto" w:fill="FFFFFF"/>
                <w:lang w:bidi="ar"/>
              </w:rPr>
              <w:t>（深*宽*高）</w:t>
            </w:r>
          </w:p>
        </w:tc>
        <w:tc>
          <w:tcPr>
            <w:tcW w:w="4335" w:type="dxa"/>
            <w:tcBorders>
              <w:tl2br w:val="nil"/>
              <w:tr2bl w:val="nil"/>
            </w:tcBorders>
            <w:vAlign w:val="center"/>
          </w:tcPr>
          <w:p w14:paraId="583AC61E">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主机+换能器</w:t>
            </w:r>
            <w:r>
              <w:rPr>
                <w:rStyle w:val="15"/>
                <w:rFonts w:hint="eastAsia" w:ascii="宋体" w:hAnsi="宋体" w:cs="宋体"/>
                <w:b w:val="0"/>
                <w:bCs w:val="0"/>
                <w:color w:val="2F5597" w:themeColor="accent1" w:themeShade="BF"/>
                <w:kern w:val="0"/>
                <w:sz w:val="24"/>
                <w:szCs w:val="24"/>
                <w:shd w:val="clear" w:color="auto" w:fill="FFFFFF"/>
                <w:lang w:eastAsia="zh-CN" w:bidi="ar"/>
              </w:rPr>
              <w:t>：</w:t>
            </w:r>
            <w:r>
              <w:rPr>
                <w:rStyle w:val="15"/>
                <w:rFonts w:hint="eastAsia" w:ascii="宋体" w:hAnsi="宋体" w:eastAsia="宋体" w:cs="宋体"/>
                <w:b w:val="0"/>
                <w:bCs w:val="0"/>
                <w:color w:val="2F5597" w:themeColor="accent1" w:themeShade="BF"/>
                <w:kern w:val="0"/>
                <w:sz w:val="24"/>
                <w:szCs w:val="24"/>
                <w:shd w:val="clear" w:color="auto" w:fill="FFFFFF"/>
                <w:lang w:bidi="ar"/>
              </w:rPr>
              <w:t>410*225*290</w:t>
            </w:r>
            <w:r>
              <w:rPr>
                <w:rStyle w:val="15"/>
                <w:rFonts w:hint="eastAsia" w:ascii="宋体" w:hAnsi="宋体" w:cs="宋体"/>
                <w:b w:val="0"/>
                <w:bCs w:val="0"/>
                <w:color w:val="2F5597" w:themeColor="accent1" w:themeShade="BF"/>
                <w:kern w:val="0"/>
                <w:sz w:val="24"/>
                <w:szCs w:val="24"/>
                <w:shd w:val="clear" w:color="auto" w:fill="FFFFFF"/>
                <w:lang w:eastAsia="zh-CN" w:bidi="ar"/>
              </w:rPr>
              <w:t>（</w:t>
            </w:r>
            <w:r>
              <w:rPr>
                <w:rStyle w:val="15"/>
                <w:rFonts w:hint="eastAsia" w:ascii="宋体" w:hAnsi="宋体" w:cs="宋体"/>
                <w:b w:val="0"/>
                <w:bCs w:val="0"/>
                <w:color w:val="2F5597" w:themeColor="accent1" w:themeShade="BF"/>
                <w:kern w:val="0"/>
                <w:sz w:val="24"/>
                <w:szCs w:val="24"/>
                <w:shd w:val="clear" w:color="auto" w:fill="FFFFFF"/>
                <w:lang w:val="en-US" w:eastAsia="zh-CN" w:bidi="ar"/>
              </w:rPr>
              <w:t>mm</w:t>
            </w:r>
            <w:r>
              <w:rPr>
                <w:rStyle w:val="15"/>
                <w:rFonts w:hint="eastAsia" w:ascii="宋体" w:hAnsi="宋体" w:cs="宋体"/>
                <w:b w:val="0"/>
                <w:bCs w:val="0"/>
                <w:color w:val="2F5597" w:themeColor="accent1" w:themeShade="BF"/>
                <w:kern w:val="0"/>
                <w:sz w:val="24"/>
                <w:szCs w:val="24"/>
                <w:shd w:val="clear" w:color="auto" w:fill="FFFFFF"/>
                <w:lang w:eastAsia="zh-CN" w:bidi="ar"/>
              </w:rPr>
              <w:t>）</w:t>
            </w:r>
            <w:r>
              <w:rPr>
                <w:rStyle w:val="15"/>
                <w:rFonts w:hint="eastAsia" w:ascii="宋体" w:hAnsi="宋体" w:eastAsia="宋体" w:cs="宋体"/>
                <w:b w:val="0"/>
                <w:bCs w:val="0"/>
                <w:color w:val="2F5597" w:themeColor="accent1" w:themeShade="BF"/>
                <w:kern w:val="0"/>
                <w:sz w:val="24"/>
                <w:szCs w:val="24"/>
                <w:shd w:val="clear" w:color="auto" w:fill="FFFFFF"/>
                <w:lang w:bidi="ar"/>
              </w:rPr>
              <w:t>,隔音箱</w:t>
            </w:r>
            <w:r>
              <w:rPr>
                <w:rStyle w:val="15"/>
                <w:rFonts w:hint="eastAsia" w:ascii="宋体" w:hAnsi="宋体" w:cs="宋体"/>
                <w:b w:val="0"/>
                <w:bCs w:val="0"/>
                <w:color w:val="2F5597" w:themeColor="accent1" w:themeShade="BF"/>
                <w:kern w:val="0"/>
                <w:sz w:val="24"/>
                <w:szCs w:val="24"/>
                <w:shd w:val="clear" w:color="auto" w:fill="FFFFFF"/>
                <w:lang w:eastAsia="zh-CN" w:bidi="ar"/>
              </w:rPr>
              <w:t>：</w:t>
            </w:r>
            <w:r>
              <w:rPr>
                <w:rStyle w:val="15"/>
                <w:rFonts w:hint="eastAsia" w:ascii="宋体" w:hAnsi="宋体" w:eastAsia="宋体" w:cs="宋体"/>
                <w:b w:val="0"/>
                <w:bCs w:val="0"/>
                <w:color w:val="2F5597" w:themeColor="accent1" w:themeShade="BF"/>
                <w:kern w:val="0"/>
                <w:sz w:val="24"/>
                <w:szCs w:val="24"/>
                <w:shd w:val="clear" w:color="auto" w:fill="FFFFFF"/>
                <w:lang w:bidi="ar"/>
              </w:rPr>
              <w:t>290*280*490</w:t>
            </w:r>
            <w:r>
              <w:rPr>
                <w:rStyle w:val="15"/>
                <w:rFonts w:hint="eastAsia" w:ascii="宋体" w:hAnsi="宋体" w:cs="宋体"/>
                <w:b w:val="0"/>
                <w:bCs w:val="0"/>
                <w:color w:val="2F5597" w:themeColor="accent1" w:themeShade="BF"/>
                <w:kern w:val="0"/>
                <w:sz w:val="24"/>
                <w:szCs w:val="24"/>
                <w:shd w:val="clear" w:color="auto" w:fill="FFFFFF"/>
                <w:lang w:eastAsia="zh-CN" w:bidi="ar"/>
              </w:rPr>
              <w:t>（</w:t>
            </w:r>
            <w:r>
              <w:rPr>
                <w:rStyle w:val="15"/>
                <w:rFonts w:hint="eastAsia" w:ascii="宋体" w:hAnsi="宋体" w:cs="宋体"/>
                <w:b w:val="0"/>
                <w:bCs w:val="0"/>
                <w:color w:val="2F5597" w:themeColor="accent1" w:themeShade="BF"/>
                <w:kern w:val="0"/>
                <w:sz w:val="24"/>
                <w:szCs w:val="24"/>
                <w:shd w:val="clear" w:color="auto" w:fill="FFFFFF"/>
                <w:lang w:val="en-US" w:eastAsia="zh-CN" w:bidi="ar"/>
              </w:rPr>
              <w:t>mm</w:t>
            </w:r>
            <w:r>
              <w:rPr>
                <w:rStyle w:val="15"/>
                <w:rFonts w:hint="eastAsia" w:ascii="宋体" w:hAnsi="宋体" w:cs="宋体"/>
                <w:b w:val="0"/>
                <w:bCs w:val="0"/>
                <w:color w:val="2F5597" w:themeColor="accent1" w:themeShade="BF"/>
                <w:kern w:val="0"/>
                <w:sz w:val="24"/>
                <w:szCs w:val="24"/>
                <w:shd w:val="clear" w:color="auto" w:fill="FFFFFF"/>
                <w:lang w:eastAsia="zh-CN" w:bidi="ar"/>
              </w:rPr>
              <w:t>）</w:t>
            </w:r>
          </w:p>
        </w:tc>
      </w:tr>
      <w:tr w14:paraId="55ADF022">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609" w:hRule="exact"/>
        </w:trPr>
        <w:tc>
          <w:tcPr>
            <w:tcW w:w="4261" w:type="dxa"/>
            <w:tcBorders>
              <w:tl2br w:val="nil"/>
              <w:tr2bl w:val="nil"/>
            </w:tcBorders>
            <w:vAlign w:val="center"/>
          </w:tcPr>
          <w:p w14:paraId="640D841A">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包装尺寸</w:t>
            </w:r>
            <w:r>
              <w:rPr>
                <w:rStyle w:val="15"/>
                <w:rFonts w:hint="eastAsia" w:ascii="宋体" w:hAnsi="宋体" w:cs="宋体"/>
                <w:b w:val="0"/>
                <w:bCs w:val="0"/>
                <w:color w:val="2F5597" w:themeColor="accent1" w:themeShade="BF"/>
                <w:kern w:val="0"/>
                <w:sz w:val="24"/>
                <w:szCs w:val="24"/>
                <w:shd w:val="clear" w:color="auto" w:fill="FFFFFF"/>
                <w:lang w:bidi="ar"/>
              </w:rPr>
              <w:t>（深*宽*高）</w:t>
            </w:r>
          </w:p>
        </w:tc>
        <w:tc>
          <w:tcPr>
            <w:tcW w:w="4335" w:type="dxa"/>
            <w:tcBorders>
              <w:tl2br w:val="nil"/>
              <w:tr2bl w:val="nil"/>
            </w:tcBorders>
            <w:vAlign w:val="center"/>
          </w:tcPr>
          <w:p w14:paraId="787D6838">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主机+换能器 470*305*430</w:t>
            </w:r>
            <w:r>
              <w:rPr>
                <w:rStyle w:val="15"/>
                <w:rFonts w:hint="eastAsia" w:ascii="宋体" w:hAnsi="宋体" w:cs="宋体"/>
                <w:b w:val="0"/>
                <w:bCs w:val="0"/>
                <w:color w:val="2F5597" w:themeColor="accent1" w:themeShade="BF"/>
                <w:kern w:val="0"/>
                <w:sz w:val="24"/>
                <w:szCs w:val="24"/>
                <w:shd w:val="clear" w:color="auto" w:fill="FFFFFF"/>
                <w:lang w:bidi="ar"/>
              </w:rPr>
              <w:t>（mm）</w:t>
            </w:r>
            <w:r>
              <w:rPr>
                <w:rStyle w:val="15"/>
                <w:rFonts w:hint="eastAsia" w:ascii="宋体" w:hAnsi="宋体" w:cs="宋体"/>
                <w:b w:val="0"/>
                <w:bCs w:val="0"/>
                <w:color w:val="2F5597" w:themeColor="accent1" w:themeShade="BF"/>
                <w:kern w:val="0"/>
                <w:sz w:val="24"/>
                <w:szCs w:val="24"/>
                <w:shd w:val="clear" w:color="auto" w:fill="FFFFFF"/>
                <w:lang w:val="en-US" w:eastAsia="zh-CN" w:bidi="ar"/>
              </w:rPr>
              <w:t xml:space="preserve">      隔音箱 350*350*550</w:t>
            </w:r>
            <w:r>
              <w:rPr>
                <w:rStyle w:val="15"/>
                <w:rFonts w:hint="eastAsia" w:ascii="宋体" w:hAnsi="宋体" w:cs="宋体"/>
                <w:b w:val="0"/>
                <w:bCs w:val="0"/>
                <w:color w:val="2F5597" w:themeColor="accent1" w:themeShade="BF"/>
                <w:kern w:val="0"/>
                <w:sz w:val="24"/>
                <w:szCs w:val="24"/>
                <w:shd w:val="clear" w:color="auto" w:fill="FFFFFF"/>
                <w:lang w:bidi="ar"/>
              </w:rPr>
              <w:t>（mm）</w:t>
            </w:r>
          </w:p>
        </w:tc>
      </w:tr>
      <w:tr w14:paraId="4F28EB7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14:paraId="2449577A">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净重</w:t>
            </w:r>
          </w:p>
        </w:tc>
        <w:tc>
          <w:tcPr>
            <w:tcW w:w="4335" w:type="dxa"/>
            <w:tcBorders>
              <w:tl2br w:val="nil"/>
              <w:tr2bl w:val="nil"/>
            </w:tcBorders>
            <w:vAlign w:val="center"/>
          </w:tcPr>
          <w:p w14:paraId="51E83CC7">
            <w:pPr>
              <w:widowControl/>
              <w:shd w:val="clear" w:color="auto" w:fill="FFFFFF"/>
              <w:jc w:val="center"/>
              <w:textAlignment w:val="center"/>
              <w:rPr>
                <w:rStyle w:val="15"/>
                <w:rFonts w:hint="default"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20kg</w:t>
            </w:r>
          </w:p>
        </w:tc>
      </w:tr>
      <w:tr w14:paraId="5C90B41D">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14:paraId="271DFCC0">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毛重</w:t>
            </w:r>
          </w:p>
        </w:tc>
        <w:tc>
          <w:tcPr>
            <w:tcW w:w="4335" w:type="dxa"/>
            <w:tcBorders>
              <w:tl2br w:val="nil"/>
              <w:tr2bl w:val="nil"/>
            </w:tcBorders>
            <w:vAlign w:val="center"/>
          </w:tcPr>
          <w:p w14:paraId="3827C46A">
            <w:pPr>
              <w:widowControl/>
              <w:shd w:val="clear" w:color="auto" w:fill="FFFFFF"/>
              <w:jc w:val="center"/>
              <w:textAlignment w:val="center"/>
              <w:rPr>
                <w:rStyle w:val="15"/>
                <w:rFonts w:hint="default"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26kg</w:t>
            </w:r>
          </w:p>
        </w:tc>
      </w:tr>
    </w:tbl>
    <w:p w14:paraId="18C0E0F8">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p>
    <w:p w14:paraId="771A80D5">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4、可选配变幅杆</w:t>
      </w:r>
    </w:p>
    <w:p w14:paraId="28FF4CFD">
      <w:pPr>
        <w:pStyle w:val="10"/>
        <w:spacing w:before="0" w:beforeAutospacing="0" w:after="0" w:afterAutospacing="0" w:line="360" w:lineRule="auto"/>
        <w:ind w:firstLine="1200" w:firstLineChars="500"/>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drawing>
          <wp:inline distT="0" distB="0" distL="0" distR="0">
            <wp:extent cx="371475" cy="1095375"/>
            <wp:effectExtent l="0" t="0" r="9525" b="952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7"/>
                    <a:stretch>
                      <a:fillRect/>
                    </a:stretch>
                  </pic:blipFill>
                  <pic:spPr>
                    <a:xfrm>
                      <a:off x="0" y="0"/>
                      <a:ext cx="371475" cy="1095375"/>
                    </a:xfrm>
                    <a:prstGeom prst="rect">
                      <a:avLst/>
                    </a:prstGeom>
                  </pic:spPr>
                </pic:pic>
              </a:graphicData>
            </a:graphic>
          </wp:inline>
        </w:drawing>
      </w:r>
      <w:r>
        <w:rPr>
          <w:rFonts w:hint="eastAsia"/>
        </w:rPr>
        <w:t xml:space="preserve">   </w:t>
      </w:r>
      <w:r>
        <w:drawing>
          <wp:inline distT="0" distB="0" distL="0" distR="0">
            <wp:extent cx="323850" cy="108585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8"/>
                    <a:stretch>
                      <a:fillRect/>
                    </a:stretch>
                  </pic:blipFill>
                  <pic:spPr>
                    <a:xfrm>
                      <a:off x="0" y="0"/>
                      <a:ext cx="323850" cy="1085850"/>
                    </a:xfrm>
                    <a:prstGeom prst="rect">
                      <a:avLst/>
                    </a:prstGeom>
                  </pic:spPr>
                </pic:pic>
              </a:graphicData>
            </a:graphic>
          </wp:inline>
        </w:drawing>
      </w:r>
      <w:r>
        <w:rPr>
          <w:rFonts w:hint="eastAsia"/>
        </w:rPr>
        <w:t xml:space="preserve">   </w:t>
      </w:r>
      <w:r>
        <w:drawing>
          <wp:inline distT="0" distB="0" distL="0" distR="0">
            <wp:extent cx="361950" cy="106680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9"/>
                    <a:stretch>
                      <a:fillRect/>
                    </a:stretch>
                  </pic:blipFill>
                  <pic:spPr>
                    <a:xfrm>
                      <a:off x="0" y="0"/>
                      <a:ext cx="361950" cy="1066800"/>
                    </a:xfrm>
                    <a:prstGeom prst="rect">
                      <a:avLst/>
                    </a:prstGeom>
                  </pic:spPr>
                </pic:pic>
              </a:graphicData>
            </a:graphic>
          </wp:inline>
        </w:drawing>
      </w:r>
      <w:r>
        <w:rPr>
          <w:rFonts w:hint="eastAsia"/>
        </w:rPr>
        <w:t xml:space="preserve">   </w:t>
      </w:r>
      <w:r>
        <w:drawing>
          <wp:inline distT="0" distB="0" distL="0" distR="0">
            <wp:extent cx="333375" cy="1076325"/>
            <wp:effectExtent l="0" t="0" r="9525" b="952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10"/>
                    <a:stretch>
                      <a:fillRect/>
                    </a:stretch>
                  </pic:blipFill>
                  <pic:spPr>
                    <a:xfrm>
                      <a:off x="0" y="0"/>
                      <a:ext cx="333375" cy="1076325"/>
                    </a:xfrm>
                    <a:prstGeom prst="rect">
                      <a:avLst/>
                    </a:prstGeom>
                  </pic:spPr>
                </pic:pic>
              </a:graphicData>
            </a:graphic>
          </wp:inline>
        </w:drawing>
      </w:r>
      <w:r>
        <w:rPr>
          <w:rFonts w:hint="eastAsia"/>
        </w:rPr>
        <w:t xml:space="preserve">   </w:t>
      </w:r>
      <w:r>
        <w:drawing>
          <wp:inline distT="0" distB="0" distL="0" distR="0">
            <wp:extent cx="285750" cy="110490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1"/>
                    <a:stretch>
                      <a:fillRect/>
                    </a:stretch>
                  </pic:blipFill>
                  <pic:spPr>
                    <a:xfrm>
                      <a:off x="0" y="0"/>
                      <a:ext cx="285750" cy="1104900"/>
                    </a:xfrm>
                    <a:prstGeom prst="rect">
                      <a:avLst/>
                    </a:prstGeom>
                  </pic:spPr>
                </pic:pic>
              </a:graphicData>
            </a:graphic>
          </wp:inline>
        </w:drawing>
      </w:r>
      <w:r>
        <w:rPr>
          <w:rFonts w:hint="eastAsia"/>
        </w:rPr>
        <w:t xml:space="preserve">    </w:t>
      </w:r>
      <w:r>
        <w:drawing>
          <wp:inline distT="0" distB="0" distL="0" distR="0">
            <wp:extent cx="257175" cy="1057275"/>
            <wp:effectExtent l="0" t="0" r="9525" b="952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12"/>
                    <a:stretch>
                      <a:fillRect/>
                    </a:stretch>
                  </pic:blipFill>
                  <pic:spPr>
                    <a:xfrm>
                      <a:off x="0" y="0"/>
                      <a:ext cx="257175" cy="1057275"/>
                    </a:xfrm>
                    <a:prstGeom prst="rect">
                      <a:avLst/>
                    </a:prstGeom>
                  </pic:spPr>
                </pic:pic>
              </a:graphicData>
            </a:graphic>
          </wp:inline>
        </w:drawing>
      </w:r>
      <w:r>
        <w:rPr>
          <w:rFonts w:hint="eastAsia"/>
        </w:rPr>
        <w:t xml:space="preserve">           </w:t>
      </w:r>
      <w:bookmarkStart w:id="0" w:name="_GoBack"/>
      <w:bookmarkEnd w:id="0"/>
      <w:r>
        <w:rPr>
          <w:rFonts w:hint="eastAsia"/>
        </w:rPr>
        <w:t xml:space="preserve">      </w:t>
      </w:r>
    </w:p>
    <w:tbl>
      <w:tblPr>
        <w:tblStyle w:val="12"/>
        <w:tblW w:w="8181" w:type="dxa"/>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1985"/>
        <w:gridCol w:w="1985"/>
        <w:gridCol w:w="1985"/>
        <w:gridCol w:w="2226"/>
      </w:tblGrid>
      <w:tr w14:paraId="7DB1D470">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14:paraId="5D56EC07">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变幅杆</w:t>
            </w:r>
          </w:p>
        </w:tc>
        <w:tc>
          <w:tcPr>
            <w:tcW w:w="1985" w:type="dxa"/>
          </w:tcPr>
          <w:p w14:paraId="6E554AB2">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直径</w:t>
            </w:r>
            <w:r>
              <w:rPr>
                <w:rFonts w:ascii="宋体" w:hAnsi="宋体" w:cs="宋体"/>
                <w:color w:val="2F5597" w:themeColor="accent1" w:themeShade="BF"/>
                <w:sz w:val="24"/>
                <w:szCs w:val="24"/>
              </w:rPr>
              <w:t>mm</w:t>
            </w:r>
          </w:p>
        </w:tc>
        <w:tc>
          <w:tcPr>
            <w:tcW w:w="1985" w:type="dxa"/>
          </w:tcPr>
          <w:p w14:paraId="71D23D9F">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处理量</w:t>
            </w:r>
            <w:r>
              <w:rPr>
                <w:rFonts w:ascii="宋体" w:hAnsi="宋体" w:cs="宋体"/>
                <w:color w:val="2F5597" w:themeColor="accent1" w:themeShade="BF"/>
                <w:sz w:val="24"/>
                <w:szCs w:val="24"/>
              </w:rPr>
              <w:t>ml</w:t>
            </w:r>
          </w:p>
        </w:tc>
        <w:tc>
          <w:tcPr>
            <w:tcW w:w="2226" w:type="dxa"/>
          </w:tcPr>
          <w:p w14:paraId="5552E74E">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功率比</w:t>
            </w:r>
            <w:r>
              <w:rPr>
                <w:rFonts w:ascii="宋体" w:hAnsi="宋体" w:cs="宋体"/>
                <w:color w:val="2F5597" w:themeColor="accent1" w:themeShade="BF"/>
                <w:sz w:val="24"/>
                <w:szCs w:val="24"/>
              </w:rPr>
              <w:t>%</w:t>
            </w:r>
          </w:p>
        </w:tc>
      </w:tr>
      <w:tr w14:paraId="4DC3202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14:paraId="69DDAC4D">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①</w:t>
            </w:r>
          </w:p>
        </w:tc>
        <w:tc>
          <w:tcPr>
            <w:tcW w:w="1985" w:type="dxa"/>
          </w:tcPr>
          <w:p w14:paraId="71601561">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Φ</w:t>
            </w:r>
            <w:r>
              <w:rPr>
                <w:rFonts w:ascii="宋体" w:hAnsi="宋体" w:cs="宋体"/>
                <w:color w:val="2F5597" w:themeColor="accent1" w:themeShade="BF"/>
                <w:sz w:val="24"/>
                <w:szCs w:val="24"/>
              </w:rPr>
              <w:t>2</w:t>
            </w:r>
          </w:p>
        </w:tc>
        <w:tc>
          <w:tcPr>
            <w:tcW w:w="1985" w:type="dxa"/>
          </w:tcPr>
          <w:p w14:paraId="34069412">
            <w:pPr>
              <w:widowControl/>
              <w:shd w:val="clear" w:color="auto" w:fill="FFFFFF"/>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0.2-5</w:t>
            </w:r>
          </w:p>
        </w:tc>
        <w:tc>
          <w:tcPr>
            <w:tcW w:w="2226" w:type="dxa"/>
          </w:tcPr>
          <w:p w14:paraId="6618A02F">
            <w:pPr>
              <w:widowControl/>
              <w:shd w:val="clear" w:color="auto" w:fill="FFFFFF"/>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1-35</w:t>
            </w:r>
          </w:p>
        </w:tc>
      </w:tr>
      <w:tr w14:paraId="7DE6FB37">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14:paraId="7B6B7902">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②</w:t>
            </w:r>
          </w:p>
        </w:tc>
        <w:tc>
          <w:tcPr>
            <w:tcW w:w="1985" w:type="dxa"/>
          </w:tcPr>
          <w:p w14:paraId="3068E5DE">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Φ</w:t>
            </w:r>
            <w:r>
              <w:rPr>
                <w:rFonts w:ascii="宋体" w:hAnsi="宋体" w:cs="宋体"/>
                <w:color w:val="2F5597" w:themeColor="accent1" w:themeShade="BF"/>
                <w:sz w:val="24"/>
                <w:szCs w:val="24"/>
              </w:rPr>
              <w:t>3</w:t>
            </w:r>
          </w:p>
        </w:tc>
        <w:tc>
          <w:tcPr>
            <w:tcW w:w="1985" w:type="dxa"/>
          </w:tcPr>
          <w:p w14:paraId="2DFB43C1">
            <w:pPr>
              <w:widowControl/>
              <w:shd w:val="clear" w:color="auto" w:fill="FFFFFF"/>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3-10</w:t>
            </w:r>
          </w:p>
        </w:tc>
        <w:tc>
          <w:tcPr>
            <w:tcW w:w="2226" w:type="dxa"/>
          </w:tcPr>
          <w:p w14:paraId="22AEA7D8">
            <w:pPr>
              <w:widowControl/>
              <w:shd w:val="clear" w:color="auto" w:fill="FFFFFF"/>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1-45</w:t>
            </w:r>
          </w:p>
        </w:tc>
      </w:tr>
      <w:tr w14:paraId="4EE08972">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14:paraId="5292A637">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④</w:t>
            </w:r>
          </w:p>
        </w:tc>
        <w:tc>
          <w:tcPr>
            <w:tcW w:w="1985" w:type="dxa"/>
          </w:tcPr>
          <w:p w14:paraId="3F5B130A">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Φ</w:t>
            </w:r>
            <w:r>
              <w:rPr>
                <w:rFonts w:ascii="宋体" w:hAnsi="宋体" w:cs="宋体"/>
                <w:color w:val="2F5597" w:themeColor="accent1" w:themeShade="BF"/>
                <w:sz w:val="24"/>
                <w:szCs w:val="24"/>
              </w:rPr>
              <w:t>6</w:t>
            </w:r>
          </w:p>
        </w:tc>
        <w:tc>
          <w:tcPr>
            <w:tcW w:w="1985" w:type="dxa"/>
          </w:tcPr>
          <w:p w14:paraId="608BD0DA">
            <w:pPr>
              <w:widowControl/>
              <w:shd w:val="clear" w:color="auto" w:fill="FFFFFF"/>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10-100</w:t>
            </w:r>
          </w:p>
        </w:tc>
        <w:tc>
          <w:tcPr>
            <w:tcW w:w="2226" w:type="dxa"/>
          </w:tcPr>
          <w:p w14:paraId="62961DBB">
            <w:pPr>
              <w:widowControl/>
              <w:shd w:val="clear" w:color="auto" w:fill="FFFFFF"/>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1-70</w:t>
            </w:r>
          </w:p>
        </w:tc>
      </w:tr>
      <w:tr w14:paraId="176A287F">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14:paraId="676D4B85">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⑤</w:t>
            </w:r>
          </w:p>
        </w:tc>
        <w:tc>
          <w:tcPr>
            <w:tcW w:w="1985" w:type="dxa"/>
          </w:tcPr>
          <w:p w14:paraId="7B3E3075">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Φ</w:t>
            </w:r>
            <w:r>
              <w:rPr>
                <w:rFonts w:ascii="宋体" w:hAnsi="宋体" w:cs="宋体"/>
                <w:color w:val="2F5597" w:themeColor="accent1" w:themeShade="BF"/>
                <w:sz w:val="24"/>
                <w:szCs w:val="24"/>
              </w:rPr>
              <w:t>8</w:t>
            </w:r>
          </w:p>
        </w:tc>
        <w:tc>
          <w:tcPr>
            <w:tcW w:w="1985" w:type="dxa"/>
          </w:tcPr>
          <w:p w14:paraId="304FEA32">
            <w:pPr>
              <w:widowControl/>
              <w:shd w:val="clear" w:color="auto" w:fill="FFFFFF"/>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20-200</w:t>
            </w:r>
          </w:p>
        </w:tc>
        <w:tc>
          <w:tcPr>
            <w:tcW w:w="2226" w:type="dxa"/>
          </w:tcPr>
          <w:p w14:paraId="37C42B2B">
            <w:pPr>
              <w:widowControl/>
              <w:shd w:val="clear" w:color="auto" w:fill="FFFFFF"/>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1-85</w:t>
            </w:r>
          </w:p>
        </w:tc>
      </w:tr>
      <w:tr w14:paraId="30E4E924">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14:paraId="20BFDDD1">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⑥</w:t>
            </w:r>
          </w:p>
        </w:tc>
        <w:tc>
          <w:tcPr>
            <w:tcW w:w="1985" w:type="dxa"/>
          </w:tcPr>
          <w:p w14:paraId="6E4486EA">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Φ</w:t>
            </w:r>
            <w:r>
              <w:rPr>
                <w:rFonts w:ascii="宋体" w:hAnsi="宋体" w:cs="宋体"/>
                <w:color w:val="2F5597" w:themeColor="accent1" w:themeShade="BF"/>
                <w:sz w:val="24"/>
                <w:szCs w:val="24"/>
              </w:rPr>
              <w:t>10</w:t>
            </w:r>
          </w:p>
        </w:tc>
        <w:tc>
          <w:tcPr>
            <w:tcW w:w="1985" w:type="dxa"/>
          </w:tcPr>
          <w:p w14:paraId="5D027FF5">
            <w:pPr>
              <w:widowControl/>
              <w:shd w:val="clear" w:color="auto" w:fill="FFFFFF"/>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30-300</w:t>
            </w:r>
          </w:p>
        </w:tc>
        <w:tc>
          <w:tcPr>
            <w:tcW w:w="2226" w:type="dxa"/>
          </w:tcPr>
          <w:p w14:paraId="08A75A8D">
            <w:pPr>
              <w:widowControl/>
              <w:shd w:val="clear" w:color="auto" w:fill="FFFFFF"/>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1-90</w:t>
            </w:r>
          </w:p>
        </w:tc>
      </w:tr>
      <w:tr w14:paraId="161916D4">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14:paraId="21E7D46F">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⑧</w:t>
            </w:r>
          </w:p>
        </w:tc>
        <w:tc>
          <w:tcPr>
            <w:tcW w:w="1985" w:type="dxa"/>
          </w:tcPr>
          <w:p w14:paraId="10649073">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Φ</w:t>
            </w:r>
            <w:r>
              <w:rPr>
                <w:rFonts w:ascii="宋体" w:hAnsi="宋体" w:cs="宋体"/>
                <w:color w:val="2F5597" w:themeColor="accent1" w:themeShade="BF"/>
                <w:sz w:val="24"/>
                <w:szCs w:val="24"/>
              </w:rPr>
              <w:t>12</w:t>
            </w:r>
          </w:p>
        </w:tc>
        <w:tc>
          <w:tcPr>
            <w:tcW w:w="1985" w:type="dxa"/>
          </w:tcPr>
          <w:p w14:paraId="05546372">
            <w:pPr>
              <w:widowControl/>
              <w:shd w:val="clear" w:color="auto" w:fill="FFFFFF"/>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50-600</w:t>
            </w:r>
          </w:p>
        </w:tc>
        <w:tc>
          <w:tcPr>
            <w:tcW w:w="2226" w:type="dxa"/>
          </w:tcPr>
          <w:p w14:paraId="1F235A15">
            <w:pPr>
              <w:widowControl/>
              <w:shd w:val="clear" w:color="auto" w:fill="FFFFFF"/>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10-90</w:t>
            </w:r>
          </w:p>
        </w:tc>
      </w:tr>
    </w:tbl>
    <w:p w14:paraId="0CC83D37">
      <w:pPr>
        <w:pStyle w:val="10"/>
        <w:spacing w:before="0" w:beforeAutospacing="0" w:after="0" w:afterAutospacing="0" w:line="360" w:lineRule="auto"/>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p>
    <w:p w14:paraId="03D2A1F2">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5、装箱清单</w:t>
      </w:r>
    </w:p>
    <w:tbl>
      <w:tblPr>
        <w:tblStyle w:val="12"/>
        <w:tblW w:w="7596" w:type="dxa"/>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5019"/>
        <w:gridCol w:w="2577"/>
      </w:tblGrid>
      <w:tr w14:paraId="09702700">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14:paraId="1AFD818C">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名称</w:t>
            </w:r>
          </w:p>
        </w:tc>
        <w:tc>
          <w:tcPr>
            <w:tcW w:w="2577" w:type="dxa"/>
          </w:tcPr>
          <w:p w14:paraId="3EBA321F">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数量</w:t>
            </w:r>
          </w:p>
        </w:tc>
      </w:tr>
      <w:tr w14:paraId="36310CE5">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14:paraId="5C8D0A5A">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超声波发生器</w:t>
            </w:r>
          </w:p>
        </w:tc>
        <w:tc>
          <w:tcPr>
            <w:tcW w:w="2577" w:type="dxa"/>
          </w:tcPr>
          <w:p w14:paraId="5F32EAD0">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1台</w:t>
            </w:r>
          </w:p>
        </w:tc>
      </w:tr>
      <w:tr w14:paraId="394AB83B">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14:paraId="3C944664">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振动系统（换能器组件+6MM）</w:t>
            </w:r>
          </w:p>
        </w:tc>
        <w:tc>
          <w:tcPr>
            <w:tcW w:w="2577" w:type="dxa"/>
          </w:tcPr>
          <w:p w14:paraId="6F5F8191">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1套</w:t>
            </w:r>
          </w:p>
        </w:tc>
      </w:tr>
      <w:tr w14:paraId="14E6E46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14:paraId="27036FE5">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隔音箱（另外包装）</w:t>
            </w:r>
          </w:p>
        </w:tc>
        <w:tc>
          <w:tcPr>
            <w:tcW w:w="2577" w:type="dxa"/>
          </w:tcPr>
          <w:p w14:paraId="43316BDD">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1只</w:t>
            </w:r>
          </w:p>
        </w:tc>
      </w:tr>
      <w:tr w14:paraId="6D29BAA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14:paraId="7E677285">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升降台（在隔音箱内）</w:t>
            </w:r>
          </w:p>
        </w:tc>
        <w:tc>
          <w:tcPr>
            <w:tcW w:w="2577" w:type="dxa"/>
          </w:tcPr>
          <w:p w14:paraId="4F5EDCEC">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1只</w:t>
            </w:r>
          </w:p>
        </w:tc>
      </w:tr>
      <w:tr w14:paraId="101F48C2">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14:paraId="36B967A7">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电源线</w:t>
            </w:r>
          </w:p>
        </w:tc>
        <w:tc>
          <w:tcPr>
            <w:tcW w:w="2577" w:type="dxa"/>
          </w:tcPr>
          <w:p w14:paraId="05E2E8C3">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1根</w:t>
            </w:r>
          </w:p>
        </w:tc>
      </w:tr>
      <w:tr w14:paraId="2F9C426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14:paraId="60646CFE">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备用保险丝（电源线袋内）</w:t>
            </w:r>
          </w:p>
        </w:tc>
        <w:tc>
          <w:tcPr>
            <w:tcW w:w="2577" w:type="dxa"/>
          </w:tcPr>
          <w:p w14:paraId="00D66DF6">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2只</w:t>
            </w:r>
          </w:p>
        </w:tc>
      </w:tr>
      <w:tr w14:paraId="6033831A">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14:paraId="15FC0003">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使用说明书</w:t>
            </w:r>
          </w:p>
        </w:tc>
        <w:tc>
          <w:tcPr>
            <w:tcW w:w="2577" w:type="dxa"/>
          </w:tcPr>
          <w:p w14:paraId="5BE3BD53">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1份</w:t>
            </w:r>
          </w:p>
        </w:tc>
      </w:tr>
      <w:tr w14:paraId="2D83143D">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14:paraId="5F06FD4D">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保修卡(含合格证)</w:t>
            </w:r>
          </w:p>
        </w:tc>
        <w:tc>
          <w:tcPr>
            <w:tcW w:w="2577" w:type="dxa"/>
          </w:tcPr>
          <w:p w14:paraId="602ED6DC">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1份</w:t>
            </w:r>
          </w:p>
        </w:tc>
      </w:tr>
      <w:tr w14:paraId="3BA46D12">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14:paraId="775FBF74">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温度探头（电源线袋内）</w:t>
            </w:r>
          </w:p>
        </w:tc>
        <w:tc>
          <w:tcPr>
            <w:tcW w:w="2577" w:type="dxa"/>
          </w:tcPr>
          <w:p w14:paraId="56F91B2D">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1只</w:t>
            </w:r>
          </w:p>
        </w:tc>
      </w:tr>
    </w:tbl>
    <w:p w14:paraId="40BBFDFA">
      <w:pPr>
        <w:pStyle w:val="10"/>
        <w:shd w:val="clear" w:color="auto" w:fill="FFFFFF"/>
        <w:spacing w:before="0" w:beforeAutospacing="0" w:after="0" w:afterAutospacing="0" w:line="645" w:lineRule="atLeast"/>
        <w:rPr>
          <w:rFonts w:ascii="微软雅黑" w:hAnsi="微软雅黑" w:eastAsia="微软雅黑" w:cs="微软雅黑"/>
          <w:color w:val="474747"/>
          <w:shd w:val="clear" w:color="auto" w:fill="FFFFFF"/>
        </w:rPr>
      </w:pPr>
    </w:p>
    <w:sectPr>
      <w:headerReference r:id="rId3" w:type="default"/>
      <w:footerReference r:id="rId4" w:type="default"/>
      <w:pgSz w:w="11906" w:h="16838"/>
      <w:pgMar w:top="1440" w:right="1800" w:bottom="1440" w:left="1800" w:header="850"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64991">
    <w:pPr>
      <w:pStyle w:val="5"/>
      <w:keepNext w:val="0"/>
      <w:keepLines w:val="0"/>
      <w:widowControl/>
      <w:shd w:val="clear" w:color="auto" w:fill="FFFFFF"/>
      <w:spacing w:before="120" w:after="120"/>
      <w:rPr>
        <w:rFonts w:ascii="宋体" w:hAnsi="宋体" w:eastAsia="宋体" w:cs="宋体"/>
        <w:color w:val="181717" w:themeColor="background2" w:themeShade="1A"/>
        <w:sz w:val="18"/>
        <w:szCs w:val="18"/>
      </w:rPr>
    </w:pPr>
  </w:p>
  <w:p w14:paraId="5DAE9695">
    <w:pPr>
      <w:pStyle w:val="5"/>
      <w:keepNext w:val="0"/>
      <w:keepLines w:val="0"/>
      <w:widowControl/>
      <w:shd w:val="clear" w:color="auto" w:fill="FFFFFF"/>
      <w:spacing w:before="120" w:after="120"/>
      <w:rPr>
        <w:rFonts w:ascii="微软雅黑" w:hAnsi="微软雅黑" w:eastAsia="微软雅黑" w:cs="微软雅黑"/>
        <w:color w:val="959FE7"/>
        <w:sz w:val="18"/>
        <w:szCs w:val="18"/>
      </w:rPr>
    </w:pPr>
  </w:p>
  <w:p w14:paraId="340166BA">
    <w:pPr>
      <w:pStyle w:val="8"/>
      <w:ind w:firstLine="960" w:firstLineChars="400"/>
      <w:rPr>
        <w:sz w:val="24"/>
        <w:szCs w:val="24"/>
        <w14:textOutline w14:w="12700" w14:cap="flat" w14:cmpd="sng" w14:algn="ctr">
          <w14:solidFill>
            <w14:schemeClr w14:val="accent1"/>
          </w14:solidFill>
          <w14:prstDash w14:val="solid"/>
          <w14:round/>
        </w14:textOut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88E1C">
    <w:pPr>
      <w:pStyle w:val="10"/>
      <w:spacing w:line="240" w:lineRule="atLeast"/>
      <w:jc w:val="both"/>
      <w:rPr>
        <w:rFonts w:hint="eastAsia" w:eastAsia="宋体"/>
        <w:b/>
        <w:bCs/>
        <w:color w:val="203864" w:themeColor="accent1" w:themeShade="80"/>
        <w:sz w:val="32"/>
        <w:szCs w:val="32"/>
        <w:lang w:eastAsia="zh-CN"/>
      </w:rPr>
    </w:pPr>
    <w:r>
      <w:rPr>
        <w:rFonts w:hint="eastAsia" w:eastAsia="宋体"/>
        <w:b/>
        <w:bCs/>
        <w:color w:val="203864" w:themeColor="accent1" w:themeShade="80"/>
        <w:sz w:val="32"/>
        <w:szCs w:val="32"/>
        <w:lang w:eastAsia="zh-CN"/>
      </w:rPr>
      <w:drawing>
        <wp:inline distT="0" distB="0" distL="114300" distR="114300">
          <wp:extent cx="824865" cy="824865"/>
          <wp:effectExtent l="0" t="0" r="13335" b="1333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
                  <a:stretch>
                    <a:fillRect/>
                  </a:stretch>
                </pic:blipFill>
                <pic:spPr>
                  <a:xfrm>
                    <a:off x="0" y="0"/>
                    <a:ext cx="824865" cy="824865"/>
                  </a:xfrm>
                  <a:prstGeom prst="rect">
                    <a:avLst/>
                  </a:prstGeom>
                </pic:spPr>
              </pic:pic>
            </a:graphicData>
          </a:graphic>
        </wp:inline>
      </w:drawing>
    </w:r>
  </w:p>
  <w:p w14:paraId="33FE2A0B">
    <w:pPr>
      <w:pStyle w:val="9"/>
      <w:pBdr>
        <w:bottom w:val="none" w:color="auto" w:sz="0" w:space="1"/>
      </w:pBdr>
      <w:tabs>
        <w:tab w:val="center" w:pos="4153"/>
        <w:tab w:val="right" w:pos="8306"/>
      </w:tabs>
      <w:jc w:val="center"/>
      <w:rPr>
        <w:b/>
        <w:color w:val="203864" w:themeColor="accent1" w:themeShade="80"/>
        <w:sz w:val="30"/>
        <w:szCs w:val="30"/>
      </w:rPr>
    </w:pPr>
    <w:r>
      <w:rPr>
        <w:rFonts w:hint="eastAsia"/>
        <w:b/>
        <w:color w:val="203864" w:themeColor="accent1" w:themeShade="80"/>
        <w:sz w:val="30"/>
        <w:szCs w:val="30"/>
      </w:rPr>
      <w:t>上海沪析实业有限公司</w:t>
    </w:r>
  </w:p>
  <w:p w14:paraId="2C815163">
    <w:pPr>
      <w:jc w:val="center"/>
      <w:rPr>
        <w:sz w:val="24"/>
        <w:szCs w:val="24"/>
      </w:rPr>
    </w:pPr>
    <w:r>
      <w:rPr>
        <w:rFonts w:hint="eastAsia"/>
        <w:b/>
        <w:bCs/>
        <w:color w:val="203864" w:themeColor="accent1" w:themeShade="80"/>
        <w:kern w:val="0"/>
      </w:rPr>
      <w:t>Shanghai Huxi Industry Co., Ltd.,</w:t>
    </w:r>
  </w:p>
  <w:p w14:paraId="4839CDEA">
    <w:pPr>
      <w:pStyle w:val="9"/>
      <w:jc w:val="both"/>
    </w:pPr>
  </w:p>
  <w:p w14:paraId="76E2A17E">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52FBCB"/>
    <w:multiLevelType w:val="singleLevel"/>
    <w:tmpl w:val="D452FBCB"/>
    <w:lvl w:ilvl="0" w:tentative="0">
      <w:start w:val="3"/>
      <w:numFmt w:val="decimal"/>
      <w:suff w:val="nothing"/>
      <w:lvlText w:val="%1、"/>
      <w:lvlJc w:val="left"/>
    </w:lvl>
  </w:abstractNum>
  <w:abstractNum w:abstractNumId="1">
    <w:nsid w:val="F79DD8EE"/>
    <w:multiLevelType w:val="singleLevel"/>
    <w:tmpl w:val="F79DD8EE"/>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YzdmZDU4NDA1NmI5ODM1ZDk5MTc4M2VjMzgyYjMifQ=="/>
  </w:docVars>
  <w:rsids>
    <w:rsidRoot w:val="000A30B6"/>
    <w:rsid w:val="00000422"/>
    <w:rsid w:val="0002414F"/>
    <w:rsid w:val="00091A92"/>
    <w:rsid w:val="000A30B6"/>
    <w:rsid w:val="000F0EE7"/>
    <w:rsid w:val="001C2F0D"/>
    <w:rsid w:val="0020067A"/>
    <w:rsid w:val="00227827"/>
    <w:rsid w:val="00262F28"/>
    <w:rsid w:val="002A603E"/>
    <w:rsid w:val="002B6FFF"/>
    <w:rsid w:val="002C777E"/>
    <w:rsid w:val="002F2DF2"/>
    <w:rsid w:val="002F500E"/>
    <w:rsid w:val="002F74BD"/>
    <w:rsid w:val="00343CBD"/>
    <w:rsid w:val="003775A9"/>
    <w:rsid w:val="003D498D"/>
    <w:rsid w:val="004A2EE0"/>
    <w:rsid w:val="004E7E09"/>
    <w:rsid w:val="00535C95"/>
    <w:rsid w:val="00580C1D"/>
    <w:rsid w:val="00596893"/>
    <w:rsid w:val="005A5BBC"/>
    <w:rsid w:val="0069114D"/>
    <w:rsid w:val="006F7001"/>
    <w:rsid w:val="00741072"/>
    <w:rsid w:val="007650E0"/>
    <w:rsid w:val="007A51F4"/>
    <w:rsid w:val="00854961"/>
    <w:rsid w:val="008B2ECB"/>
    <w:rsid w:val="00955DE4"/>
    <w:rsid w:val="0098299C"/>
    <w:rsid w:val="00990FAD"/>
    <w:rsid w:val="009A582A"/>
    <w:rsid w:val="009E7CF6"/>
    <w:rsid w:val="00A306C4"/>
    <w:rsid w:val="00A4672B"/>
    <w:rsid w:val="00A94E0D"/>
    <w:rsid w:val="00AA4A1B"/>
    <w:rsid w:val="00AA5CBF"/>
    <w:rsid w:val="00B61697"/>
    <w:rsid w:val="00B839ED"/>
    <w:rsid w:val="00BD42F1"/>
    <w:rsid w:val="00C47428"/>
    <w:rsid w:val="00C83139"/>
    <w:rsid w:val="00D03875"/>
    <w:rsid w:val="00DA0404"/>
    <w:rsid w:val="00DA6A09"/>
    <w:rsid w:val="00E15CAB"/>
    <w:rsid w:val="00E2271A"/>
    <w:rsid w:val="00E54BE6"/>
    <w:rsid w:val="00E610B3"/>
    <w:rsid w:val="00E62DD8"/>
    <w:rsid w:val="00E900EE"/>
    <w:rsid w:val="00EC783E"/>
    <w:rsid w:val="00EF22FA"/>
    <w:rsid w:val="00EF585C"/>
    <w:rsid w:val="00FE197F"/>
    <w:rsid w:val="017212D3"/>
    <w:rsid w:val="02AA71DB"/>
    <w:rsid w:val="02D933F4"/>
    <w:rsid w:val="02F87F3E"/>
    <w:rsid w:val="03F258F4"/>
    <w:rsid w:val="04E918A9"/>
    <w:rsid w:val="0692734F"/>
    <w:rsid w:val="07553E41"/>
    <w:rsid w:val="091F1204"/>
    <w:rsid w:val="0A184A29"/>
    <w:rsid w:val="0A366F57"/>
    <w:rsid w:val="0A965B96"/>
    <w:rsid w:val="0AAB6D4D"/>
    <w:rsid w:val="0E786296"/>
    <w:rsid w:val="10C02CE0"/>
    <w:rsid w:val="10E60B82"/>
    <w:rsid w:val="11385EB2"/>
    <w:rsid w:val="117D1E52"/>
    <w:rsid w:val="12F323D9"/>
    <w:rsid w:val="13377D20"/>
    <w:rsid w:val="15DC66C9"/>
    <w:rsid w:val="162626F1"/>
    <w:rsid w:val="163338FF"/>
    <w:rsid w:val="167836D1"/>
    <w:rsid w:val="16855545"/>
    <w:rsid w:val="16A71820"/>
    <w:rsid w:val="17E75FC3"/>
    <w:rsid w:val="18711AC3"/>
    <w:rsid w:val="1886336C"/>
    <w:rsid w:val="1976192B"/>
    <w:rsid w:val="199E120D"/>
    <w:rsid w:val="1A4C7833"/>
    <w:rsid w:val="1A6B1489"/>
    <w:rsid w:val="1AB80B3F"/>
    <w:rsid w:val="1B871C86"/>
    <w:rsid w:val="1C4A28F1"/>
    <w:rsid w:val="1C8D4EFF"/>
    <w:rsid w:val="1E486378"/>
    <w:rsid w:val="1F995798"/>
    <w:rsid w:val="2159429D"/>
    <w:rsid w:val="216A23E2"/>
    <w:rsid w:val="22E601DB"/>
    <w:rsid w:val="23243285"/>
    <w:rsid w:val="241D3C4F"/>
    <w:rsid w:val="246A0583"/>
    <w:rsid w:val="24AE6CFC"/>
    <w:rsid w:val="295A600F"/>
    <w:rsid w:val="2A602115"/>
    <w:rsid w:val="2A847618"/>
    <w:rsid w:val="2AC31D90"/>
    <w:rsid w:val="2BE36FED"/>
    <w:rsid w:val="2C2B4AD0"/>
    <w:rsid w:val="2C936415"/>
    <w:rsid w:val="2CBC35B2"/>
    <w:rsid w:val="2D270418"/>
    <w:rsid w:val="2D9E504D"/>
    <w:rsid w:val="2DBB4423"/>
    <w:rsid w:val="2E5E5B1C"/>
    <w:rsid w:val="30667F5E"/>
    <w:rsid w:val="30800013"/>
    <w:rsid w:val="312C35D0"/>
    <w:rsid w:val="32494755"/>
    <w:rsid w:val="34121BAC"/>
    <w:rsid w:val="347E01D1"/>
    <w:rsid w:val="348346E6"/>
    <w:rsid w:val="348E7F12"/>
    <w:rsid w:val="355647D6"/>
    <w:rsid w:val="35B92EB0"/>
    <w:rsid w:val="36027874"/>
    <w:rsid w:val="36585CBC"/>
    <w:rsid w:val="36E10A24"/>
    <w:rsid w:val="39F61B6C"/>
    <w:rsid w:val="3A045A6B"/>
    <w:rsid w:val="3A542ACC"/>
    <w:rsid w:val="3ABF1760"/>
    <w:rsid w:val="3AE00D2C"/>
    <w:rsid w:val="3C5E63A4"/>
    <w:rsid w:val="3DA6127B"/>
    <w:rsid w:val="3DEB6E30"/>
    <w:rsid w:val="3E2B5E06"/>
    <w:rsid w:val="40764144"/>
    <w:rsid w:val="410B44C7"/>
    <w:rsid w:val="43EA5F2F"/>
    <w:rsid w:val="442711AA"/>
    <w:rsid w:val="44A24CC7"/>
    <w:rsid w:val="498B526A"/>
    <w:rsid w:val="4A527F2C"/>
    <w:rsid w:val="4AA4627F"/>
    <w:rsid w:val="4ADC76DB"/>
    <w:rsid w:val="4CA81950"/>
    <w:rsid w:val="4CB5540A"/>
    <w:rsid w:val="4D4E77F2"/>
    <w:rsid w:val="4E931B10"/>
    <w:rsid w:val="4F6A59D0"/>
    <w:rsid w:val="4FD73045"/>
    <w:rsid w:val="51C771E3"/>
    <w:rsid w:val="51F9487C"/>
    <w:rsid w:val="52EE746C"/>
    <w:rsid w:val="5452446D"/>
    <w:rsid w:val="563C7D3B"/>
    <w:rsid w:val="5642512E"/>
    <w:rsid w:val="567A4548"/>
    <w:rsid w:val="576F688D"/>
    <w:rsid w:val="5826783E"/>
    <w:rsid w:val="58926505"/>
    <w:rsid w:val="58C6092D"/>
    <w:rsid w:val="58F34817"/>
    <w:rsid w:val="591C6583"/>
    <w:rsid w:val="594D1214"/>
    <w:rsid w:val="59AB3574"/>
    <w:rsid w:val="5BDA755D"/>
    <w:rsid w:val="5DDC6E97"/>
    <w:rsid w:val="600B77B4"/>
    <w:rsid w:val="607225C9"/>
    <w:rsid w:val="608B6872"/>
    <w:rsid w:val="61FA2450"/>
    <w:rsid w:val="624F31B6"/>
    <w:rsid w:val="626F460D"/>
    <w:rsid w:val="62737F03"/>
    <w:rsid w:val="62BD7680"/>
    <w:rsid w:val="63B80222"/>
    <w:rsid w:val="64BB3B0A"/>
    <w:rsid w:val="65173864"/>
    <w:rsid w:val="67074C35"/>
    <w:rsid w:val="67B86FD5"/>
    <w:rsid w:val="68CC736B"/>
    <w:rsid w:val="69A05A18"/>
    <w:rsid w:val="6AB4227F"/>
    <w:rsid w:val="6B3B6611"/>
    <w:rsid w:val="6B5251F4"/>
    <w:rsid w:val="6B6C7258"/>
    <w:rsid w:val="6BA7011A"/>
    <w:rsid w:val="6DFB560B"/>
    <w:rsid w:val="6F17421F"/>
    <w:rsid w:val="6F7B3153"/>
    <w:rsid w:val="6F975B11"/>
    <w:rsid w:val="700A616C"/>
    <w:rsid w:val="71E561F0"/>
    <w:rsid w:val="73587C07"/>
    <w:rsid w:val="737F1A45"/>
    <w:rsid w:val="73974732"/>
    <w:rsid w:val="74A64C8E"/>
    <w:rsid w:val="75EA64FF"/>
    <w:rsid w:val="76E353C5"/>
    <w:rsid w:val="77C15694"/>
    <w:rsid w:val="78323E75"/>
    <w:rsid w:val="78F84331"/>
    <w:rsid w:val="79FB6B36"/>
    <w:rsid w:val="7A61311F"/>
    <w:rsid w:val="7A664B08"/>
    <w:rsid w:val="7AA2317C"/>
    <w:rsid w:val="7B965710"/>
    <w:rsid w:val="7CAD3559"/>
    <w:rsid w:val="7D806002"/>
    <w:rsid w:val="7E1F0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after="260" w:line="413" w:lineRule="auto"/>
      <w:outlineLvl w:val="2"/>
    </w:pPr>
    <w:rPr>
      <w:b/>
      <w:sz w:val="32"/>
    </w:rPr>
  </w:style>
  <w:style w:type="paragraph" w:styleId="5">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after="290" w:line="372" w:lineRule="auto"/>
      <w:outlineLvl w:val="4"/>
    </w:pPr>
    <w:rPr>
      <w:b/>
      <w:sz w:val="28"/>
    </w:rPr>
  </w:style>
  <w:style w:type="character" w:default="1" w:styleId="14">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7">
    <w:name w:val="Balloon Text"/>
    <w:basedOn w:val="1"/>
    <w:link w:val="19"/>
    <w:unhideWhenUsed/>
    <w:qFormat/>
    <w:uiPriority w:val="99"/>
    <w:rPr>
      <w:sz w:val="18"/>
      <w:szCs w:val="18"/>
    </w:rPr>
  </w:style>
  <w:style w:type="paragraph" w:styleId="8">
    <w:name w:val="footer"/>
    <w:basedOn w:val="1"/>
    <w:link w:val="17"/>
    <w:autoRedefine/>
    <w:unhideWhenUsed/>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snapToGrid w:val="0"/>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3">
    <w:name w:val="Light Grid Accent 5"/>
    <w:basedOn w:val="11"/>
    <w:autoRedefine/>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character" w:styleId="15">
    <w:name w:val="Strong"/>
    <w:basedOn w:val="14"/>
    <w:autoRedefine/>
    <w:qFormat/>
    <w:uiPriority w:val="22"/>
    <w:rPr>
      <w:b/>
      <w:bCs/>
    </w:rPr>
  </w:style>
  <w:style w:type="character" w:styleId="16">
    <w:name w:val="Hyperlink"/>
    <w:basedOn w:val="14"/>
    <w:autoRedefine/>
    <w:unhideWhenUsed/>
    <w:qFormat/>
    <w:uiPriority w:val="99"/>
    <w:rPr>
      <w:color w:val="0000FF"/>
      <w:u w:val="single"/>
    </w:rPr>
  </w:style>
  <w:style w:type="character" w:customStyle="1" w:styleId="17">
    <w:name w:val="页脚 Char"/>
    <w:basedOn w:val="14"/>
    <w:link w:val="8"/>
    <w:autoRedefine/>
    <w:qFormat/>
    <w:uiPriority w:val="99"/>
    <w:rPr>
      <w:sz w:val="18"/>
      <w:szCs w:val="18"/>
    </w:rPr>
  </w:style>
  <w:style w:type="character" w:customStyle="1" w:styleId="18">
    <w:name w:val="标题 1 Char"/>
    <w:basedOn w:val="14"/>
    <w:link w:val="2"/>
    <w:autoRedefine/>
    <w:qFormat/>
    <w:uiPriority w:val="9"/>
    <w:rPr>
      <w:rFonts w:ascii="宋体" w:hAnsi="宋体" w:eastAsia="宋体" w:cs="宋体"/>
      <w:b/>
      <w:bCs/>
      <w:kern w:val="36"/>
      <w:sz w:val="48"/>
      <w:szCs w:val="48"/>
    </w:rPr>
  </w:style>
  <w:style w:type="character" w:customStyle="1" w:styleId="19">
    <w:name w:val="批注框文本 Char"/>
    <w:basedOn w:val="14"/>
    <w:link w:val="7"/>
    <w:autoRedefine/>
    <w:semiHidden/>
    <w:qFormat/>
    <w:uiPriority w:val="99"/>
    <w:rPr>
      <w:kern w:val="2"/>
      <w:sz w:val="18"/>
      <w:szCs w:val="18"/>
    </w:rPr>
  </w:style>
  <w:style w:type="paragraph" w:customStyle="1" w:styleId="20">
    <w:name w:val="样式1"/>
    <w:basedOn w:val="1"/>
    <w:next w:val="8"/>
    <w:autoRedefine/>
    <w:qFormat/>
    <w:uiPriority w:val="0"/>
    <w:pPr>
      <w:jc w:val="center"/>
    </w:pPr>
  </w:style>
  <w:style w:type="paragraph" w:customStyle="1" w:styleId="21">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B949B7-BD28-4A83-B647-F18ED84C76DE}">
  <ds:schemaRefs/>
</ds:datastoreItem>
</file>

<file path=docProps/app.xml><?xml version="1.0" encoding="utf-8"?>
<Properties xmlns="http://schemas.openxmlformats.org/officeDocument/2006/extended-properties" xmlns:vt="http://schemas.openxmlformats.org/officeDocument/2006/docPropsVTypes">
  <Template>Normal.dotm</Template>
  <Pages>4</Pages>
  <Words>825</Words>
  <Characters>1056</Characters>
  <Lines>8</Lines>
  <Paragraphs>2</Paragraphs>
  <TotalTime>0</TotalTime>
  <ScaleCrop>false</ScaleCrop>
  <LinksUpToDate>false</LinksUpToDate>
  <CharactersWithSpaces>1098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2018-05-21T01:33:00Z</dcterms:created>
  <dc:creator>孙长娟</dc:creator>
  <cp:lastModifiedBy>五七</cp:lastModifiedBy>
  <dcterms:modified xsi:type="dcterms:W3CDTF">2024-07-25T07:12:59Z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9B1B111A66F3437F8611D143B1D4399D_12</vt:lpwstr>
  </property>
</Properties>
</file>