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D1BE2">
      <w:pPr>
        <w:tabs>
          <w:tab w:val="left" w:pos="7161"/>
        </w:tabs>
        <w:jc w:val="center"/>
        <w:rPr>
          <w:rFonts w:hint="eastAsia" w:ascii="宋体" w:hAnsi="宋体" w:eastAsia="宋体"/>
          <w:b/>
          <w:color w:val="2F5597" w:themeColor="accent1" w:themeShade="BF"/>
          <w:sz w:val="24"/>
          <w:szCs w:val="24"/>
          <w:lang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eastAsia="宋体"/>
          <w:b/>
          <w:color w:val="2F5597" w:themeColor="accent1" w:themeShade="BF"/>
          <w:sz w:val="24"/>
          <w:szCs w:val="24"/>
          <w:lang w:eastAsia="zh-CN"/>
          <w14:shadow w14:blurRad="38100" w14:dist="25400" w14:dir="5400000" w14:sx="100000" w14:sy="100000" w14:kx="0" w14:ky="0" w14:algn="ctr">
            <w14:srgbClr w14:val="6E747A">
              <w14:alpha w14:val="57000"/>
            </w14:srgbClr>
          </w14:shadow>
          <w14:props3d w14:extrusionH="0" w14:contourW="0" w14:prstMaterial="clear"/>
        </w:rPr>
        <w:drawing>
          <wp:inline distT="0" distB="0" distL="114300" distR="114300">
            <wp:extent cx="3582035" cy="2372995"/>
            <wp:effectExtent l="0" t="0" r="0" b="0"/>
            <wp:docPr id="2" name="图片 2" descr="DSC_0928正面（夹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SC_0928正面（夹具）"/>
                    <pic:cNvPicPr>
                      <a:picLocks noChangeAspect="1"/>
                    </pic:cNvPicPr>
                  </pic:nvPicPr>
                  <pic:blipFill>
                    <a:blip r:embed="rId6"/>
                    <a:stretch>
                      <a:fillRect/>
                    </a:stretch>
                  </pic:blipFill>
                  <pic:spPr>
                    <a:xfrm>
                      <a:off x="0" y="0"/>
                      <a:ext cx="3582035" cy="2372995"/>
                    </a:xfrm>
                    <a:prstGeom prst="rect">
                      <a:avLst/>
                    </a:prstGeom>
                  </pic:spPr>
                </pic:pic>
              </a:graphicData>
            </a:graphic>
          </wp:inline>
        </w:drawing>
      </w:r>
    </w:p>
    <w:p w14:paraId="0A8E799B">
      <w:pPr>
        <w:tabs>
          <w:tab w:val="left" w:pos="7161"/>
        </w:tabs>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sz w:val="30"/>
        </w:rPr>
        <mc:AlternateContent>
          <mc:Choice Requires="wps">
            <w:drawing>
              <wp:anchor distT="0" distB="0" distL="114300" distR="114300" simplePos="0" relativeHeight="251661312" behindDoc="1" locked="0" layoutInCell="1" allowOverlap="1">
                <wp:simplePos x="0" y="0"/>
                <wp:positionH relativeFrom="column">
                  <wp:posOffset>1555750</wp:posOffset>
                </wp:positionH>
                <wp:positionV relativeFrom="paragraph">
                  <wp:posOffset>36195</wp:posOffset>
                </wp:positionV>
                <wp:extent cx="1920875" cy="438150"/>
                <wp:effectExtent l="0" t="0" r="0" b="0"/>
                <wp:wrapThrough wrapText="bothSides">
                  <wp:wrapPolygon>
                    <wp:start x="1064" y="2410"/>
                    <wp:lineTo x="20536" y="2410"/>
                    <wp:lineTo x="20536" y="19190"/>
                    <wp:lineTo x="1064" y="19190"/>
                    <wp:lineTo x="1064" y="2410"/>
                  </wp:wrapPolygon>
                </wp:wrapThrough>
                <wp:docPr id="4" name="文本框 4"/>
                <wp:cNvGraphicFramePr/>
                <a:graphic xmlns:a="http://schemas.openxmlformats.org/drawingml/2006/main">
                  <a:graphicData uri="http://schemas.microsoft.com/office/word/2010/wordprocessingShape">
                    <wps:wsp>
                      <wps:cNvSpPr txBox="1"/>
                      <wps:spPr>
                        <a:xfrm>
                          <a:off x="0" y="0"/>
                          <a:ext cx="1920875" cy="438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42A86">
                            <w:pPr>
                              <w:tabs>
                                <w:tab w:val="left" w:pos="7161"/>
                              </w:tabs>
                              <w:rPr>
                                <w:rFonts w:hint="default"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HZL-240W分子杂交仪</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5pt;margin-top:2.85pt;height:34.5pt;width:151.25pt;mso-wrap-distance-left:9pt;mso-wrap-distance-right:9pt;z-index:-251655168;mso-width-relative:page;mso-height-relative:page;" filled="f" stroked="f" coordsize="21600,21600" wrapcoords="1064 2410 20536 2410 20536 19190 1064 19190 1064 2410" o:gfxdata="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vCXn/NkAAAAIAQAADwAAAAAAAAABACAAAAAiAAAAZHJz&#10;L2Rvd25yZXYueG1sUEsBAhQAFAAAAAgAh07iQGMLWTE8AgAAZgQAAA4AAAAAAAAAAQAgAAAAKAEA&#10;AGRycy9lMm9Eb2MueG1sUEsFBgAAAAAGAAYAWQEAANYFAAAAAA==&#10;">
                <v:fill on="f" focussize="0,0"/>
                <v:stroke on="f" weight="0.5pt"/>
                <v:imagedata o:title=""/>
                <o:lock v:ext="edit" aspectratio="f"/>
                <v:textbox>
                  <w:txbxContent>
                    <w:p w14:paraId="5B942A86">
                      <w:pPr>
                        <w:tabs>
                          <w:tab w:val="left" w:pos="7161"/>
                        </w:tabs>
                        <w:rPr>
                          <w:rFonts w:hint="default"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HZL-240W分子杂交仪</w:t>
                      </w:r>
                    </w:p>
                  </w:txbxContent>
                </v:textbox>
                <w10:wrap type="through"/>
              </v:shape>
            </w:pict>
          </mc:Fallback>
        </mc:AlternateContent>
      </w:r>
    </w:p>
    <w:p w14:paraId="4CB4A8D7">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6192;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1942B7F9">
      <w:pPr>
        <w:spacing w:line="360" w:lineRule="auto"/>
        <w:ind w:firstLine="480" w:firstLineChars="200"/>
        <w:jc w:val="left"/>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分子杂交的基本原理就是利用仪器的特殊温控系统和垂直转动系统的结合，也就是有效结合温度和混匀的功能，通过一定的时间，将同源序列的两种核酸单链DNA/RNA在特定温度、特定速度的条件下，按碱基互补配对的原则经过退火变性处理，形成异质双链的过程。</w:t>
      </w:r>
    </w:p>
    <w:p w14:paraId="3B52EFBE">
      <w:pPr>
        <w:spacing w:line="360" w:lineRule="auto"/>
        <w:ind w:firstLine="480" w:firstLineChars="200"/>
        <w:jc w:val="left"/>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 xml:space="preserve"> 本仪器在核酸分子杂交中对烤膜，预杂交，洗膜全过程可进行温度自动控制，可以有效的应用于核酸分子杂交技术的研究，克隆基因的筛选、凝胶的染脱色和微生物的培养等应用领域，也可作酶联反应的孵育器。与酶免结合可建立全定量或半定量PCR检测方法。在病毒、细菌疾病的基因诊断的临床检测中具有良好的应用效果。在杂交技术领域，可替代塑料杂交袋和水浴摇床等设备。本仪器因升温速度快、温度分布均匀而被广泛地应用于克隆基因的筛选、基因组中特定基因序列的定性、定量检测和疾病的诊断等方面。是现代实验室提供分子杂交技术的理想设备。</w:t>
      </w:r>
    </w:p>
    <w:p w14:paraId="47A6CED6">
      <w:pPr>
        <w:spacing w:line="360" w:lineRule="auto"/>
        <w:jc w:val="left"/>
        <w:rPr>
          <w:rFonts w:hint="eastAsia" w:ascii="宋体" w:hAnsi="宋体" w:cs="宋体"/>
          <w:color w:val="2F5597" w:themeColor="accent1" w:themeShade="BF"/>
          <w:sz w:val="24"/>
          <w:szCs w:val="24"/>
          <w:lang w:val="en-US" w:eastAsia="zh-CN"/>
        </w:rPr>
      </w:pPr>
    </w:p>
    <w:p w14:paraId="24436CF9">
      <w:pPr>
        <w:adjustRightInd w:val="0"/>
        <w:spacing w:line="360" w:lineRule="auto"/>
        <w:rPr>
          <w:rFonts w:ascii="宋体" w:hAnsi="宋体" w:cs="宋体"/>
          <w:color w:val="2F5597" w:themeColor="accent1" w:themeShade="BF"/>
          <w:sz w:val="24"/>
          <w:szCs w:val="24"/>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7216;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5872342E">
      <w:pPr>
        <w:pStyle w:val="10"/>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热风恒温对流技术，实时显示当前实际温度，温度精准均匀</w:t>
      </w:r>
      <w:r>
        <w:rPr>
          <w:rFonts w:hint="eastAsia" w:cs="宋体"/>
          <w:color w:val="2F5597" w:themeColor="accent1" w:themeShade="BF"/>
          <w:kern w:val="2"/>
          <w:sz w:val="24"/>
          <w:szCs w:val="24"/>
          <w:lang w:val="en-US" w:eastAsia="zh-CN" w:bidi="ar-SA"/>
        </w:rPr>
        <w:t>；</w:t>
      </w:r>
    </w:p>
    <w:p w14:paraId="37B1998F">
      <w:pPr>
        <w:pStyle w:val="10"/>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采用步进电机，旋转平稳，转速精准，不易损坏，消除了老款同步带频繁脱落问题</w:t>
      </w:r>
      <w:r>
        <w:rPr>
          <w:rFonts w:hint="eastAsia" w:cs="宋体"/>
          <w:color w:val="2F5597" w:themeColor="accent1" w:themeShade="BF"/>
          <w:kern w:val="2"/>
          <w:sz w:val="24"/>
          <w:szCs w:val="24"/>
          <w:lang w:val="en-US" w:eastAsia="zh-CN" w:bidi="ar-SA"/>
        </w:rPr>
        <w:t>；</w:t>
      </w:r>
    </w:p>
    <w:p w14:paraId="6F3D13A7">
      <w:pPr>
        <w:pStyle w:val="10"/>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可一键式点动大屏幕上的旋转电机主轴按钮，点动旋转时杂交管易装卸</w:t>
      </w:r>
      <w:r>
        <w:rPr>
          <w:rFonts w:hint="eastAsia" w:cs="宋体"/>
          <w:color w:val="2F5597" w:themeColor="accent1" w:themeShade="BF"/>
          <w:kern w:val="2"/>
          <w:sz w:val="24"/>
          <w:szCs w:val="24"/>
          <w:lang w:val="en-US" w:eastAsia="zh-CN" w:bidi="ar-SA"/>
        </w:rPr>
        <w:t>；</w:t>
      </w:r>
    </w:p>
    <w:p w14:paraId="06A977EB">
      <w:pPr>
        <w:pStyle w:val="10"/>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内胆和支架采用防腐蚀不304锈钢材料，3C认证钢化玻璃门+密封装置，特意设计了电子感应器</w:t>
      </w:r>
      <w:r>
        <w:rPr>
          <w:rFonts w:hint="eastAsia" w:cs="宋体"/>
          <w:color w:val="2F5597" w:themeColor="accent1" w:themeShade="BF"/>
          <w:kern w:val="2"/>
          <w:sz w:val="24"/>
          <w:szCs w:val="24"/>
          <w:lang w:val="en-US" w:eastAsia="zh-CN" w:bidi="ar-SA"/>
        </w:rPr>
        <w:t>；</w:t>
      </w:r>
    </w:p>
    <w:p w14:paraId="665F5D9D">
      <w:pPr>
        <w:pStyle w:val="10"/>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大屏幕上“开/关门”图标动态显示，开门自动停止功能，有效防止辐射等安全问题</w:t>
      </w:r>
      <w:r>
        <w:rPr>
          <w:rFonts w:hint="eastAsia" w:cs="宋体"/>
          <w:color w:val="2F5597" w:themeColor="accent1" w:themeShade="BF"/>
          <w:kern w:val="2"/>
          <w:sz w:val="24"/>
          <w:szCs w:val="24"/>
          <w:lang w:val="en-US" w:eastAsia="zh-CN" w:bidi="ar-SA"/>
        </w:rPr>
        <w:t>；</w:t>
      </w:r>
    </w:p>
    <w:p w14:paraId="00B84D6C">
      <w:pPr>
        <w:pStyle w:val="10"/>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底部摇动基座时间和速度可调，可广泛应用于放置杂交袋和酶标板等严格要求的孵育实验，可一机多用</w:t>
      </w:r>
      <w:r>
        <w:rPr>
          <w:rFonts w:hint="eastAsia" w:cs="宋体"/>
          <w:color w:val="2F5597" w:themeColor="accent1" w:themeShade="BF"/>
          <w:kern w:val="2"/>
          <w:sz w:val="24"/>
          <w:szCs w:val="24"/>
          <w:lang w:val="en-US" w:eastAsia="zh-CN" w:bidi="ar-SA"/>
        </w:rPr>
        <w:t>；</w:t>
      </w:r>
    </w:p>
    <w:p w14:paraId="51BD2625">
      <w:pPr>
        <w:pStyle w:val="10"/>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设计了50组数据保存功能，并且增加了5段编程组合功能，可满足客户样品在不同的时间、不同转速和不同温度下的梯度实验要求，无需手动分段设置，使实验效率更高，更加的精准和人性化</w:t>
      </w:r>
      <w:r>
        <w:rPr>
          <w:rFonts w:hint="eastAsia" w:cs="宋体"/>
          <w:color w:val="2F5597" w:themeColor="accent1" w:themeShade="BF"/>
          <w:kern w:val="2"/>
          <w:sz w:val="24"/>
          <w:szCs w:val="24"/>
          <w:lang w:val="en-US" w:eastAsia="zh-CN" w:bidi="ar-SA"/>
        </w:rPr>
        <w:t>；</w:t>
      </w:r>
    </w:p>
    <w:p w14:paraId="44780179">
      <w:pPr>
        <w:pStyle w:val="10"/>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仪器增加了温度曲线显示波形图，可有效记录控温时的实时温度状态，并保留了ModBus通讯接口的选配功能，为以后开发电脑通讯或上位机控制功能以及多台联机功能留下必要的条件。</w:t>
      </w:r>
    </w:p>
    <w:p w14:paraId="15BAA28B">
      <w:pPr>
        <w:pStyle w:val="10"/>
        <w:spacing w:before="0" w:beforeAutospacing="0" w:after="0" w:afterAutospacing="0" w:line="360" w:lineRule="auto"/>
        <w:rPr>
          <w:rFonts w:hint="eastAsia" w:ascii="宋体" w:hAnsi="宋体" w:eastAsia="宋体" w:cs="宋体"/>
          <w:color w:val="2F5597" w:themeColor="accent1" w:themeShade="BF"/>
          <w:kern w:val="2"/>
          <w:sz w:val="24"/>
          <w:szCs w:val="24"/>
          <w:lang w:val="en-US" w:eastAsia="zh-CN" w:bidi="ar-SA"/>
        </w:rPr>
      </w:pPr>
    </w:p>
    <w:p w14:paraId="79C5CC04">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3、技术参数</w:t>
      </w:r>
    </w:p>
    <w:tbl>
      <w:tblPr>
        <w:tblStyle w:val="12"/>
        <w:tblpPr w:leftFromText="180" w:rightFromText="180" w:vertAnchor="text" w:horzAnchor="page" w:tblpXSpec="center" w:tblpY="204"/>
        <w:tblOverlap w:val="never"/>
        <w:tblW w:w="0" w:type="auto"/>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autofit"/>
        <w:tblCellMar>
          <w:top w:w="0" w:type="dxa"/>
          <w:left w:w="108" w:type="dxa"/>
          <w:bottom w:w="0" w:type="dxa"/>
          <w:right w:w="108" w:type="dxa"/>
        </w:tblCellMar>
      </w:tblPr>
      <w:tblGrid>
        <w:gridCol w:w="3091"/>
        <w:gridCol w:w="5431"/>
      </w:tblGrid>
      <w:tr w14:paraId="193E027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shd w:val="clear" w:color="auto" w:fill="FFFFFF" w:themeFill="background1"/>
            <w:vAlign w:val="center"/>
          </w:tcPr>
          <w:p w14:paraId="2458CE0C">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型号</w:t>
            </w:r>
          </w:p>
        </w:tc>
        <w:tc>
          <w:tcPr>
            <w:tcW w:w="5431" w:type="dxa"/>
            <w:tcBorders>
              <w:tl2br w:val="nil"/>
              <w:tr2bl w:val="nil"/>
            </w:tcBorders>
            <w:shd w:val="clear" w:color="auto" w:fill="auto"/>
            <w:vAlign w:val="center"/>
          </w:tcPr>
          <w:p w14:paraId="5F6C7D3E">
            <w:pPr>
              <w:spacing w:line="360" w:lineRule="auto"/>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HZL-240W</w:t>
            </w:r>
          </w:p>
        </w:tc>
      </w:tr>
      <w:tr w14:paraId="77F57A2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shd w:val="clear" w:color="auto" w:fill="FFFFFF" w:themeFill="background1"/>
            <w:vAlign w:val="center"/>
          </w:tcPr>
          <w:p w14:paraId="39F1E273">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货号</w:t>
            </w:r>
          </w:p>
        </w:tc>
        <w:tc>
          <w:tcPr>
            <w:tcW w:w="5431" w:type="dxa"/>
            <w:tcBorders>
              <w:tl2br w:val="nil"/>
              <w:tr2bl w:val="nil"/>
            </w:tcBorders>
            <w:shd w:val="clear" w:color="auto" w:fill="auto"/>
            <w:vAlign w:val="center"/>
          </w:tcPr>
          <w:p w14:paraId="601A919B">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1047002001</w:t>
            </w:r>
          </w:p>
        </w:tc>
      </w:tr>
      <w:tr w14:paraId="592BC21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shd w:val="clear" w:color="auto" w:fill="FFFFFF" w:themeFill="background1"/>
            <w:vAlign w:val="top"/>
          </w:tcPr>
          <w:p w14:paraId="17C502B9">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温度范围</w:t>
            </w:r>
          </w:p>
        </w:tc>
        <w:tc>
          <w:tcPr>
            <w:tcW w:w="5431" w:type="dxa"/>
            <w:tcBorders>
              <w:tl2br w:val="nil"/>
              <w:tr2bl w:val="nil"/>
            </w:tcBorders>
            <w:shd w:val="clear" w:color="auto" w:fill="auto"/>
            <w:vAlign w:val="top"/>
          </w:tcPr>
          <w:p w14:paraId="67179B94">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室温+5℃-100℃</w:t>
            </w:r>
          </w:p>
        </w:tc>
      </w:tr>
      <w:tr w14:paraId="0077449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shd w:val="clear" w:color="auto" w:fill="FFFFFF" w:themeFill="background1"/>
            <w:vAlign w:val="top"/>
          </w:tcPr>
          <w:p w14:paraId="47BDF1EE">
            <w:pPr>
              <w:spacing w:line="360" w:lineRule="auto"/>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控温精度</w:t>
            </w:r>
          </w:p>
        </w:tc>
        <w:tc>
          <w:tcPr>
            <w:tcW w:w="5431" w:type="dxa"/>
            <w:tcBorders>
              <w:tl2br w:val="nil"/>
              <w:tr2bl w:val="nil"/>
            </w:tcBorders>
            <w:shd w:val="clear" w:color="auto" w:fill="auto"/>
            <w:vAlign w:val="top"/>
          </w:tcPr>
          <w:p w14:paraId="548EB4CF">
            <w:pPr>
              <w:spacing w:line="360" w:lineRule="auto"/>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±0.5℃</w:t>
            </w:r>
          </w:p>
        </w:tc>
      </w:tr>
      <w:tr w14:paraId="7CA8828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shd w:val="clear" w:color="auto" w:fill="FFFFFF" w:themeFill="background1"/>
            <w:vAlign w:val="top"/>
          </w:tcPr>
          <w:p w14:paraId="34BF412C">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温度均匀性</w:t>
            </w:r>
          </w:p>
        </w:tc>
        <w:tc>
          <w:tcPr>
            <w:tcW w:w="5431" w:type="dxa"/>
            <w:tcBorders>
              <w:tl2br w:val="nil"/>
              <w:tr2bl w:val="nil"/>
            </w:tcBorders>
            <w:shd w:val="clear" w:color="auto" w:fill="auto"/>
            <w:vAlign w:val="top"/>
          </w:tcPr>
          <w:p w14:paraId="237D82E9">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±0.03℃</w:t>
            </w:r>
          </w:p>
        </w:tc>
      </w:tr>
      <w:tr w14:paraId="7DC8B6F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shd w:val="clear" w:color="auto" w:fill="FFFFFF" w:themeFill="background1"/>
            <w:vAlign w:val="top"/>
          </w:tcPr>
          <w:p w14:paraId="053B7C57">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温度显示分辨率</w:t>
            </w:r>
          </w:p>
        </w:tc>
        <w:tc>
          <w:tcPr>
            <w:tcW w:w="5431" w:type="dxa"/>
            <w:tcBorders>
              <w:tl2br w:val="nil"/>
              <w:tr2bl w:val="nil"/>
            </w:tcBorders>
            <w:shd w:val="clear" w:color="auto" w:fill="auto"/>
            <w:vAlign w:val="top"/>
          </w:tcPr>
          <w:p w14:paraId="5957E5FD">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0.1℃</w:t>
            </w:r>
          </w:p>
        </w:tc>
      </w:tr>
      <w:tr w14:paraId="1D54FD2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04" w:hRule="exact"/>
          <w:jc w:val="center"/>
        </w:trPr>
        <w:tc>
          <w:tcPr>
            <w:tcW w:w="3091" w:type="dxa"/>
            <w:tcBorders>
              <w:tl2br w:val="nil"/>
              <w:tr2bl w:val="nil"/>
            </w:tcBorders>
            <w:vAlign w:val="top"/>
          </w:tcPr>
          <w:p w14:paraId="30014553">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温度平衡时间(37℃为例）</w:t>
            </w:r>
          </w:p>
        </w:tc>
        <w:tc>
          <w:tcPr>
            <w:tcW w:w="5431" w:type="dxa"/>
            <w:tcBorders>
              <w:tl2br w:val="nil"/>
              <w:tr2bl w:val="nil"/>
            </w:tcBorders>
            <w:shd w:val="clear" w:color="auto" w:fill="auto"/>
            <w:vAlign w:val="top"/>
          </w:tcPr>
          <w:p w14:paraId="709B0BA9">
            <w:pPr>
              <w:spacing w:line="360" w:lineRule="auto"/>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＜20min</w:t>
            </w:r>
          </w:p>
        </w:tc>
      </w:tr>
      <w:tr w14:paraId="1A70CCA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21679156">
            <w:pPr>
              <w:spacing w:line="360" w:lineRule="auto"/>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控制界面规格</w:t>
            </w:r>
          </w:p>
        </w:tc>
        <w:tc>
          <w:tcPr>
            <w:tcW w:w="5431" w:type="dxa"/>
            <w:tcBorders>
              <w:tl2br w:val="nil"/>
              <w:tr2bl w:val="nil"/>
            </w:tcBorders>
            <w:shd w:val="clear" w:color="auto" w:fill="auto"/>
            <w:vAlign w:val="top"/>
          </w:tcPr>
          <w:p w14:paraId="3B8EABE1">
            <w:pPr>
              <w:spacing w:line="360" w:lineRule="auto"/>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7寸TFT真彩触摸屏</w:t>
            </w:r>
          </w:p>
        </w:tc>
      </w:tr>
      <w:tr w14:paraId="1E687A8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24" w:hRule="exact"/>
          <w:jc w:val="center"/>
        </w:trPr>
        <w:tc>
          <w:tcPr>
            <w:tcW w:w="3091" w:type="dxa"/>
            <w:tcBorders>
              <w:tl2br w:val="nil"/>
              <w:tr2bl w:val="nil"/>
            </w:tcBorders>
            <w:vAlign w:val="top"/>
          </w:tcPr>
          <w:p w14:paraId="4E98816D">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主轴旋转速度</w:t>
            </w:r>
          </w:p>
        </w:tc>
        <w:tc>
          <w:tcPr>
            <w:tcW w:w="5431" w:type="dxa"/>
            <w:tcBorders>
              <w:tl2br w:val="nil"/>
              <w:tr2bl w:val="nil"/>
            </w:tcBorders>
            <w:shd w:val="clear" w:color="auto" w:fill="auto"/>
            <w:vAlign w:val="top"/>
          </w:tcPr>
          <w:p w14:paraId="260E31EA">
            <w:pPr>
              <w:spacing w:line="360" w:lineRule="auto"/>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0-50rpm连续可调 ±1rpm</w:t>
            </w:r>
          </w:p>
        </w:tc>
      </w:tr>
      <w:tr w14:paraId="56EF43E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40C24C2B">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正反转自动切换+摇匀功能</w:t>
            </w:r>
          </w:p>
          <w:p w14:paraId="65C6EEF1">
            <w:pPr>
              <w:spacing w:line="360" w:lineRule="auto"/>
              <w:jc w:val="both"/>
              <w:rPr>
                <w:rFonts w:hint="eastAsia" w:ascii="宋体" w:hAnsi="宋体" w:cs="宋体"/>
                <w:color w:val="2F5597" w:themeColor="accent1" w:themeShade="BF"/>
                <w:sz w:val="24"/>
                <w:szCs w:val="24"/>
                <w:lang w:val="en-US" w:eastAsia="zh-CN"/>
              </w:rPr>
            </w:pPr>
          </w:p>
        </w:tc>
        <w:tc>
          <w:tcPr>
            <w:tcW w:w="5431" w:type="dxa"/>
            <w:tcBorders>
              <w:tl2br w:val="nil"/>
              <w:tr2bl w:val="nil"/>
            </w:tcBorders>
            <w:shd w:val="clear" w:color="auto" w:fill="auto"/>
            <w:vAlign w:val="top"/>
          </w:tcPr>
          <w:p w14:paraId="2A4B0041">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有</w:t>
            </w:r>
          </w:p>
        </w:tc>
      </w:tr>
      <w:tr w14:paraId="4965DE0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1564625E">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底部振动基座</w:t>
            </w:r>
          </w:p>
        </w:tc>
        <w:tc>
          <w:tcPr>
            <w:tcW w:w="5431" w:type="dxa"/>
            <w:tcBorders>
              <w:tl2br w:val="nil"/>
              <w:tr2bl w:val="nil"/>
            </w:tcBorders>
            <w:shd w:val="clear" w:color="auto" w:fill="auto"/>
            <w:vAlign w:val="top"/>
          </w:tcPr>
          <w:p w14:paraId="4F88FB49">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有（带酶标板振荡且振幅可调）</w:t>
            </w:r>
          </w:p>
        </w:tc>
      </w:tr>
      <w:tr w14:paraId="595AE2C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0F82E10D">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底部基座振动强度</w:t>
            </w:r>
          </w:p>
        </w:tc>
        <w:tc>
          <w:tcPr>
            <w:tcW w:w="5431" w:type="dxa"/>
            <w:tcBorders>
              <w:tl2br w:val="nil"/>
              <w:tr2bl w:val="nil"/>
            </w:tcBorders>
            <w:shd w:val="clear" w:color="auto" w:fill="auto"/>
            <w:vAlign w:val="top"/>
          </w:tcPr>
          <w:p w14:paraId="4C272CDD">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0-99档可调（0-9900rpm）</w:t>
            </w:r>
          </w:p>
        </w:tc>
      </w:tr>
      <w:tr w14:paraId="6307A5D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7F132C02">
            <w:pPr>
              <w:spacing w:line="360" w:lineRule="auto"/>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振幅</w:t>
            </w:r>
          </w:p>
        </w:tc>
        <w:tc>
          <w:tcPr>
            <w:tcW w:w="5431" w:type="dxa"/>
            <w:tcBorders>
              <w:tl2br w:val="nil"/>
              <w:tr2bl w:val="nil"/>
            </w:tcBorders>
            <w:shd w:val="clear" w:color="auto" w:fill="auto"/>
            <w:vAlign w:val="top"/>
          </w:tcPr>
          <w:p w14:paraId="1EF6F213">
            <w:pPr>
              <w:spacing w:line="360" w:lineRule="auto"/>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1.5mm</w:t>
            </w:r>
          </w:p>
        </w:tc>
      </w:tr>
      <w:tr w14:paraId="0390EE2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334ABEAF">
            <w:pPr>
              <w:spacing w:line="360" w:lineRule="auto"/>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总工作时间范围</w:t>
            </w:r>
          </w:p>
        </w:tc>
        <w:tc>
          <w:tcPr>
            <w:tcW w:w="5431" w:type="dxa"/>
            <w:tcBorders>
              <w:tl2br w:val="nil"/>
              <w:tr2bl w:val="nil"/>
            </w:tcBorders>
            <w:shd w:val="clear" w:color="auto" w:fill="auto"/>
            <w:vAlign w:val="top"/>
          </w:tcPr>
          <w:p w14:paraId="4B480576">
            <w:pPr>
              <w:spacing w:line="360" w:lineRule="auto"/>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0-999m59s</w:t>
            </w:r>
          </w:p>
        </w:tc>
      </w:tr>
      <w:tr w14:paraId="728FCE8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9" w:hRule="exact"/>
          <w:jc w:val="center"/>
        </w:trPr>
        <w:tc>
          <w:tcPr>
            <w:tcW w:w="3091" w:type="dxa"/>
            <w:tcBorders>
              <w:tl2br w:val="nil"/>
              <w:tr2bl w:val="nil"/>
            </w:tcBorders>
            <w:vAlign w:val="top"/>
          </w:tcPr>
          <w:p w14:paraId="78F4BB31">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最长连续工作时间</w:t>
            </w:r>
          </w:p>
        </w:tc>
        <w:tc>
          <w:tcPr>
            <w:tcW w:w="5431" w:type="dxa"/>
            <w:tcBorders>
              <w:tl2br w:val="nil"/>
              <w:tr2bl w:val="nil"/>
            </w:tcBorders>
            <w:shd w:val="clear" w:color="auto" w:fill="auto"/>
            <w:vAlign w:val="top"/>
          </w:tcPr>
          <w:p w14:paraId="3781EE99">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设置0为连续工作</w:t>
            </w:r>
          </w:p>
        </w:tc>
      </w:tr>
      <w:tr w14:paraId="57E850E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76430B6F">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杂交管旋转点动模式</w:t>
            </w:r>
          </w:p>
        </w:tc>
        <w:tc>
          <w:tcPr>
            <w:tcW w:w="5431" w:type="dxa"/>
            <w:tcBorders>
              <w:tl2br w:val="nil"/>
              <w:tr2bl w:val="nil"/>
            </w:tcBorders>
            <w:shd w:val="clear" w:color="auto" w:fill="auto"/>
            <w:vAlign w:val="top"/>
          </w:tcPr>
          <w:p w14:paraId="54DD3C62">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有</w:t>
            </w:r>
          </w:p>
        </w:tc>
      </w:tr>
      <w:tr w14:paraId="11101E9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096A28F3">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温度曲线示意图</w:t>
            </w:r>
          </w:p>
        </w:tc>
        <w:tc>
          <w:tcPr>
            <w:tcW w:w="5431" w:type="dxa"/>
            <w:tcBorders>
              <w:tl2br w:val="nil"/>
              <w:tr2bl w:val="nil"/>
            </w:tcBorders>
            <w:shd w:val="clear" w:color="auto" w:fill="auto"/>
            <w:vAlign w:val="top"/>
          </w:tcPr>
          <w:p w14:paraId="6017E25A">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有</w:t>
            </w:r>
          </w:p>
        </w:tc>
      </w:tr>
      <w:tr w14:paraId="274C5DE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63619C11">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组合编程模式</w:t>
            </w:r>
          </w:p>
        </w:tc>
        <w:tc>
          <w:tcPr>
            <w:tcW w:w="5431" w:type="dxa"/>
            <w:tcBorders>
              <w:tl2br w:val="nil"/>
              <w:tr2bl w:val="nil"/>
            </w:tcBorders>
            <w:shd w:val="clear" w:color="auto" w:fill="auto"/>
            <w:vAlign w:val="top"/>
          </w:tcPr>
          <w:p w14:paraId="4703016F">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5组</w:t>
            </w:r>
          </w:p>
        </w:tc>
      </w:tr>
      <w:tr w14:paraId="79722AB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3D1B93A6">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数据储存</w:t>
            </w:r>
          </w:p>
        </w:tc>
        <w:tc>
          <w:tcPr>
            <w:tcW w:w="5431" w:type="dxa"/>
            <w:tcBorders>
              <w:tl2br w:val="nil"/>
              <w:tr2bl w:val="nil"/>
            </w:tcBorders>
            <w:shd w:val="clear" w:color="auto" w:fill="auto"/>
            <w:vAlign w:val="top"/>
          </w:tcPr>
          <w:p w14:paraId="5BDDC9A2">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50组</w:t>
            </w:r>
          </w:p>
        </w:tc>
      </w:tr>
      <w:tr w14:paraId="548588C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6D072F48">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最多可放杂交管数量</w:t>
            </w:r>
          </w:p>
        </w:tc>
        <w:tc>
          <w:tcPr>
            <w:tcW w:w="5431" w:type="dxa"/>
            <w:tcBorders>
              <w:tl2br w:val="nil"/>
              <w:tr2bl w:val="nil"/>
            </w:tcBorders>
            <w:shd w:val="clear" w:color="auto" w:fill="auto"/>
            <w:vAlign w:val="top"/>
          </w:tcPr>
          <w:p w14:paraId="5AB6DFB1">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6个</w:t>
            </w:r>
          </w:p>
        </w:tc>
      </w:tr>
      <w:tr w14:paraId="66C5CDB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9" w:hRule="exact"/>
          <w:jc w:val="center"/>
        </w:trPr>
        <w:tc>
          <w:tcPr>
            <w:tcW w:w="3091" w:type="dxa"/>
            <w:tcBorders>
              <w:tl2br w:val="nil"/>
              <w:tr2bl w:val="nil"/>
            </w:tcBorders>
            <w:vAlign w:val="top"/>
          </w:tcPr>
          <w:p w14:paraId="178A5A01">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杂交管标配规格/数量</w:t>
            </w:r>
          </w:p>
        </w:tc>
        <w:tc>
          <w:tcPr>
            <w:tcW w:w="5431" w:type="dxa"/>
            <w:tcBorders>
              <w:tl2br w:val="nil"/>
              <w:tr2bl w:val="nil"/>
            </w:tcBorders>
            <w:shd w:val="clear" w:color="auto" w:fill="auto"/>
            <w:vAlign w:val="top"/>
          </w:tcPr>
          <w:p w14:paraId="3222EB6F">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φ35×240mm/3支</w:t>
            </w:r>
          </w:p>
        </w:tc>
      </w:tr>
      <w:tr w14:paraId="310C6A2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2A3DE9D1">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杂交管可选配规格</w:t>
            </w:r>
          </w:p>
        </w:tc>
        <w:tc>
          <w:tcPr>
            <w:tcW w:w="5431" w:type="dxa"/>
            <w:tcBorders>
              <w:tl2br w:val="nil"/>
              <w:tr2bl w:val="nil"/>
            </w:tcBorders>
            <w:shd w:val="clear" w:color="auto" w:fill="auto"/>
            <w:vAlign w:val="top"/>
          </w:tcPr>
          <w:p w14:paraId="2CDF65AA">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φ35×150mm和φ35×300mm</w:t>
            </w:r>
          </w:p>
        </w:tc>
      </w:tr>
      <w:tr w14:paraId="03372E1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427FB3F8">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电源电压</w:t>
            </w:r>
          </w:p>
        </w:tc>
        <w:tc>
          <w:tcPr>
            <w:tcW w:w="5431" w:type="dxa"/>
            <w:tcBorders>
              <w:tl2br w:val="nil"/>
              <w:tr2bl w:val="nil"/>
            </w:tcBorders>
            <w:shd w:val="clear" w:color="auto" w:fill="auto"/>
            <w:vAlign w:val="top"/>
          </w:tcPr>
          <w:p w14:paraId="1F666467">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220VAV，50HZ</w:t>
            </w:r>
          </w:p>
        </w:tc>
      </w:tr>
      <w:tr w14:paraId="4BC6A66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11CAC19B">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功率</w:t>
            </w:r>
          </w:p>
        </w:tc>
        <w:tc>
          <w:tcPr>
            <w:tcW w:w="5431" w:type="dxa"/>
            <w:tcBorders>
              <w:tl2br w:val="nil"/>
              <w:tr2bl w:val="nil"/>
            </w:tcBorders>
            <w:shd w:val="clear" w:color="auto" w:fill="auto"/>
            <w:vAlign w:val="top"/>
          </w:tcPr>
          <w:p w14:paraId="620C8353">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＜800W</w:t>
            </w:r>
          </w:p>
        </w:tc>
      </w:tr>
      <w:tr w14:paraId="0BF7E78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69650759">
            <w:pPr>
              <w:spacing w:line="360" w:lineRule="auto"/>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可选配</w:t>
            </w:r>
          </w:p>
        </w:tc>
        <w:tc>
          <w:tcPr>
            <w:tcW w:w="5431" w:type="dxa"/>
            <w:tcBorders>
              <w:tl2br w:val="nil"/>
              <w:tr2bl w:val="nil"/>
            </w:tcBorders>
            <w:shd w:val="clear" w:color="auto" w:fill="auto"/>
            <w:vAlign w:val="top"/>
          </w:tcPr>
          <w:p w14:paraId="7A4A69BF">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ModBus通讯协议</w:t>
            </w:r>
          </w:p>
          <w:p w14:paraId="4FDFD7FA">
            <w:pPr>
              <w:spacing w:line="360" w:lineRule="auto"/>
              <w:jc w:val="both"/>
              <w:rPr>
                <w:rFonts w:hint="eastAsia" w:ascii="宋体" w:hAnsi="宋体" w:cs="宋体"/>
                <w:color w:val="2F5597" w:themeColor="accent1" w:themeShade="BF"/>
                <w:sz w:val="24"/>
                <w:szCs w:val="24"/>
                <w:lang w:val="en-US" w:eastAsia="zh-CN"/>
              </w:rPr>
            </w:pPr>
          </w:p>
        </w:tc>
      </w:tr>
      <w:tr w14:paraId="31C53A0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36E04501">
            <w:pPr>
              <w:spacing w:line="360" w:lineRule="auto"/>
              <w:jc w:val="both"/>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sz w:val="24"/>
                <w:szCs w:val="24"/>
                <w:lang w:val="en-US" w:eastAsia="zh-CN"/>
              </w:rPr>
              <w:t>仪器尺寸</w:t>
            </w:r>
          </w:p>
        </w:tc>
        <w:tc>
          <w:tcPr>
            <w:tcW w:w="5431" w:type="dxa"/>
            <w:tcBorders>
              <w:tl2br w:val="nil"/>
              <w:tr2bl w:val="nil"/>
            </w:tcBorders>
            <w:shd w:val="clear" w:color="auto" w:fill="auto"/>
            <w:vAlign w:val="top"/>
          </w:tcPr>
          <w:p w14:paraId="6586C3B3">
            <w:pPr>
              <w:spacing w:line="360" w:lineRule="auto"/>
              <w:jc w:val="both"/>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sz w:val="24"/>
                <w:szCs w:val="24"/>
                <w:lang w:val="en-US" w:eastAsia="zh-CN"/>
              </w:rPr>
              <w:t>525*370*340mm</w:t>
            </w:r>
          </w:p>
        </w:tc>
      </w:tr>
      <w:tr w14:paraId="08D82D8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76699083">
            <w:pPr>
              <w:spacing w:line="360" w:lineRule="auto"/>
              <w:jc w:val="both"/>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sz w:val="24"/>
                <w:szCs w:val="24"/>
                <w:lang w:val="en-US" w:eastAsia="zh-CN"/>
              </w:rPr>
              <w:t>包装尺寸</w:t>
            </w:r>
          </w:p>
        </w:tc>
        <w:tc>
          <w:tcPr>
            <w:tcW w:w="5431" w:type="dxa"/>
            <w:tcBorders>
              <w:tl2br w:val="nil"/>
              <w:tr2bl w:val="nil"/>
            </w:tcBorders>
            <w:shd w:val="clear" w:color="auto" w:fill="auto"/>
            <w:vAlign w:val="top"/>
          </w:tcPr>
          <w:p w14:paraId="61F90E22">
            <w:pPr>
              <w:spacing w:line="360" w:lineRule="auto"/>
              <w:jc w:val="both"/>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sz w:val="24"/>
                <w:szCs w:val="24"/>
                <w:lang w:val="en-US" w:eastAsia="zh-CN"/>
              </w:rPr>
              <w:t>645*470*465mm</w:t>
            </w:r>
          </w:p>
        </w:tc>
      </w:tr>
      <w:tr w14:paraId="273D6C7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26BA4F85">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净重</w:t>
            </w:r>
          </w:p>
        </w:tc>
        <w:tc>
          <w:tcPr>
            <w:tcW w:w="5431" w:type="dxa"/>
            <w:tcBorders>
              <w:tl2br w:val="nil"/>
              <w:tr2bl w:val="nil"/>
            </w:tcBorders>
            <w:shd w:val="clear" w:color="auto" w:fill="auto"/>
            <w:vAlign w:val="top"/>
          </w:tcPr>
          <w:p w14:paraId="69499EFF">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20kg</w:t>
            </w:r>
          </w:p>
        </w:tc>
      </w:tr>
      <w:tr w14:paraId="0C1FEC4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091" w:type="dxa"/>
            <w:tcBorders>
              <w:tl2br w:val="nil"/>
              <w:tr2bl w:val="nil"/>
            </w:tcBorders>
            <w:vAlign w:val="top"/>
          </w:tcPr>
          <w:p w14:paraId="1767A2DC">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毛重</w:t>
            </w:r>
          </w:p>
        </w:tc>
        <w:tc>
          <w:tcPr>
            <w:tcW w:w="5431" w:type="dxa"/>
            <w:tcBorders>
              <w:tl2br w:val="nil"/>
              <w:tr2bl w:val="nil"/>
            </w:tcBorders>
            <w:shd w:val="clear" w:color="auto" w:fill="auto"/>
            <w:vAlign w:val="top"/>
          </w:tcPr>
          <w:p w14:paraId="3729AE1D">
            <w:pPr>
              <w:spacing w:line="360" w:lineRule="auto"/>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24</w:t>
            </w:r>
            <w:bookmarkStart w:id="0" w:name="_GoBack"/>
            <w:bookmarkEnd w:id="0"/>
            <w:r>
              <w:rPr>
                <w:rFonts w:hint="eastAsia" w:ascii="宋体" w:hAnsi="宋体" w:cs="宋体"/>
                <w:color w:val="2F5597" w:themeColor="accent1" w:themeShade="BF"/>
                <w:sz w:val="24"/>
                <w:szCs w:val="24"/>
                <w:lang w:val="en-US" w:eastAsia="zh-CN"/>
              </w:rPr>
              <w:t>kg</w:t>
            </w:r>
          </w:p>
        </w:tc>
      </w:tr>
    </w:tbl>
    <w:p w14:paraId="2D1E2F72">
      <w:pPr>
        <w:pStyle w:val="10"/>
        <w:spacing w:before="0" w:beforeAutospacing="0" w:after="0" w:afterAutospacing="0" w:line="360" w:lineRule="auto"/>
        <w:rPr>
          <w:rFonts w:hint="default" w:eastAsia="宋体"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4</w:t>
      </w: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w:t>
      </w: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装箱清单</w:t>
      </w:r>
    </w:p>
    <w:tbl>
      <w:tblPr>
        <w:tblStyle w:val="12"/>
        <w:tblpPr w:leftFromText="180" w:rightFromText="180" w:vertAnchor="text" w:horzAnchor="page" w:tblpXSpec="center" w:tblpY="204"/>
        <w:tblOverlap w:val="never"/>
        <w:tblW w:w="0" w:type="auto"/>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autofit"/>
        <w:tblCellMar>
          <w:top w:w="0" w:type="dxa"/>
          <w:left w:w="108" w:type="dxa"/>
          <w:bottom w:w="0" w:type="dxa"/>
          <w:right w:w="108" w:type="dxa"/>
        </w:tblCellMar>
      </w:tblPr>
      <w:tblGrid>
        <w:gridCol w:w="1365"/>
        <w:gridCol w:w="3693"/>
        <w:gridCol w:w="3464"/>
      </w:tblGrid>
      <w:tr w14:paraId="137E8DF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1365" w:type="dxa"/>
            <w:tcBorders>
              <w:tl2br w:val="nil"/>
              <w:tr2bl w:val="nil"/>
            </w:tcBorders>
            <w:vAlign w:val="center"/>
          </w:tcPr>
          <w:p w14:paraId="2C7C3B14">
            <w:pPr>
              <w:spacing w:line="360" w:lineRule="auto"/>
              <w:ind w:firstLine="480" w:firstLineChars="200"/>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序号</w:t>
            </w:r>
          </w:p>
        </w:tc>
        <w:tc>
          <w:tcPr>
            <w:tcW w:w="3693" w:type="dxa"/>
            <w:tcBorders>
              <w:tl2br w:val="nil"/>
              <w:tr2bl w:val="nil"/>
            </w:tcBorders>
            <w:shd w:val="clear" w:color="auto" w:fill="auto"/>
            <w:vAlign w:val="center"/>
          </w:tcPr>
          <w:p w14:paraId="1C5B7705">
            <w:pPr>
              <w:spacing w:line="360" w:lineRule="auto"/>
              <w:ind w:firstLine="480" w:firstLineChars="200"/>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名称</w:t>
            </w:r>
          </w:p>
        </w:tc>
        <w:tc>
          <w:tcPr>
            <w:tcW w:w="3464" w:type="dxa"/>
            <w:tcBorders>
              <w:tl2br w:val="nil"/>
              <w:tr2bl w:val="nil"/>
            </w:tcBorders>
            <w:shd w:val="clear" w:color="auto" w:fill="auto"/>
            <w:vAlign w:val="center"/>
          </w:tcPr>
          <w:p w14:paraId="7593D6EA">
            <w:pPr>
              <w:spacing w:line="360" w:lineRule="auto"/>
              <w:ind w:firstLine="480" w:firstLineChars="200"/>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数量</w:t>
            </w:r>
          </w:p>
        </w:tc>
      </w:tr>
      <w:tr w14:paraId="514E9C8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1365" w:type="dxa"/>
            <w:tcBorders>
              <w:tl2br w:val="nil"/>
              <w:tr2bl w:val="nil"/>
            </w:tcBorders>
            <w:vAlign w:val="center"/>
          </w:tcPr>
          <w:p w14:paraId="5F2AF057">
            <w:pPr>
              <w:spacing w:line="360" w:lineRule="auto"/>
              <w:ind w:firstLine="480" w:firstLineChars="200"/>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w:t>
            </w:r>
          </w:p>
        </w:tc>
        <w:tc>
          <w:tcPr>
            <w:tcW w:w="3693" w:type="dxa"/>
            <w:tcBorders>
              <w:tl2br w:val="nil"/>
              <w:tr2bl w:val="nil"/>
            </w:tcBorders>
            <w:shd w:val="clear" w:color="auto" w:fill="auto"/>
            <w:vAlign w:val="center"/>
          </w:tcPr>
          <w:p w14:paraId="750D85EB">
            <w:pPr>
              <w:spacing w:line="360" w:lineRule="auto"/>
              <w:ind w:firstLine="480" w:firstLineChars="200"/>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主机</w:t>
            </w:r>
          </w:p>
        </w:tc>
        <w:tc>
          <w:tcPr>
            <w:tcW w:w="3464" w:type="dxa"/>
            <w:tcBorders>
              <w:tl2br w:val="nil"/>
              <w:tr2bl w:val="nil"/>
            </w:tcBorders>
            <w:shd w:val="clear" w:color="auto" w:fill="auto"/>
            <w:vAlign w:val="center"/>
          </w:tcPr>
          <w:p w14:paraId="3857BBC7">
            <w:pPr>
              <w:spacing w:line="360" w:lineRule="auto"/>
              <w:ind w:firstLine="480" w:firstLineChars="200"/>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1台</w:t>
            </w:r>
          </w:p>
        </w:tc>
      </w:tr>
      <w:tr w14:paraId="1741FE4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1365" w:type="dxa"/>
            <w:tcBorders>
              <w:tl2br w:val="nil"/>
              <w:tr2bl w:val="nil"/>
            </w:tcBorders>
            <w:vAlign w:val="center"/>
          </w:tcPr>
          <w:p w14:paraId="5E95A7F4">
            <w:pPr>
              <w:spacing w:line="360" w:lineRule="auto"/>
              <w:ind w:firstLine="480" w:firstLineChars="200"/>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w:t>
            </w:r>
          </w:p>
        </w:tc>
        <w:tc>
          <w:tcPr>
            <w:tcW w:w="3693" w:type="dxa"/>
            <w:tcBorders>
              <w:tl2br w:val="nil"/>
              <w:tr2bl w:val="nil"/>
            </w:tcBorders>
            <w:shd w:val="clear" w:color="auto" w:fill="auto"/>
            <w:vAlign w:val="center"/>
          </w:tcPr>
          <w:p w14:paraId="4DFD37DD">
            <w:pPr>
              <w:spacing w:line="360" w:lineRule="auto"/>
              <w:ind w:firstLine="480" w:firstLineChars="200"/>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杂交管（φ35×240mm）</w:t>
            </w:r>
          </w:p>
        </w:tc>
        <w:tc>
          <w:tcPr>
            <w:tcW w:w="3464" w:type="dxa"/>
            <w:tcBorders>
              <w:tl2br w:val="nil"/>
              <w:tr2bl w:val="nil"/>
            </w:tcBorders>
            <w:shd w:val="clear" w:color="auto" w:fill="auto"/>
            <w:vAlign w:val="center"/>
          </w:tcPr>
          <w:p w14:paraId="0439654B">
            <w:pPr>
              <w:spacing w:line="360" w:lineRule="auto"/>
              <w:ind w:firstLine="480" w:firstLineChars="200"/>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3支</w:t>
            </w:r>
          </w:p>
        </w:tc>
      </w:tr>
      <w:tr w14:paraId="272659B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1365" w:type="dxa"/>
            <w:tcBorders>
              <w:tl2br w:val="nil"/>
              <w:tr2bl w:val="nil"/>
            </w:tcBorders>
            <w:vAlign w:val="center"/>
          </w:tcPr>
          <w:p w14:paraId="1AC0A8F7">
            <w:pPr>
              <w:spacing w:line="360" w:lineRule="auto"/>
              <w:ind w:firstLine="480" w:firstLineChars="200"/>
              <w:jc w:val="both"/>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3</w:t>
            </w:r>
          </w:p>
        </w:tc>
        <w:tc>
          <w:tcPr>
            <w:tcW w:w="3693" w:type="dxa"/>
            <w:tcBorders>
              <w:tl2br w:val="nil"/>
              <w:tr2bl w:val="nil"/>
            </w:tcBorders>
            <w:shd w:val="clear" w:color="auto" w:fill="auto"/>
            <w:vAlign w:val="center"/>
          </w:tcPr>
          <w:p w14:paraId="660B7821">
            <w:pPr>
              <w:spacing w:line="360" w:lineRule="auto"/>
              <w:ind w:firstLine="480" w:firstLineChars="200"/>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电源线</w:t>
            </w:r>
          </w:p>
        </w:tc>
        <w:tc>
          <w:tcPr>
            <w:tcW w:w="3464" w:type="dxa"/>
            <w:tcBorders>
              <w:tl2br w:val="nil"/>
              <w:tr2bl w:val="nil"/>
            </w:tcBorders>
            <w:shd w:val="clear" w:color="auto" w:fill="auto"/>
            <w:vAlign w:val="center"/>
          </w:tcPr>
          <w:p w14:paraId="21AA93CA">
            <w:pPr>
              <w:spacing w:line="360" w:lineRule="auto"/>
              <w:ind w:firstLine="480" w:firstLineChars="200"/>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1根</w:t>
            </w:r>
          </w:p>
        </w:tc>
      </w:tr>
      <w:tr w14:paraId="2D6763F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1365" w:type="dxa"/>
            <w:tcBorders>
              <w:tl2br w:val="nil"/>
              <w:tr2bl w:val="nil"/>
            </w:tcBorders>
            <w:vAlign w:val="center"/>
          </w:tcPr>
          <w:p w14:paraId="78E5BCDB">
            <w:pPr>
              <w:spacing w:line="360" w:lineRule="auto"/>
              <w:ind w:firstLine="480" w:firstLineChars="200"/>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4</w:t>
            </w:r>
          </w:p>
        </w:tc>
        <w:tc>
          <w:tcPr>
            <w:tcW w:w="3693" w:type="dxa"/>
            <w:tcBorders>
              <w:tl2br w:val="nil"/>
              <w:tr2bl w:val="nil"/>
            </w:tcBorders>
            <w:shd w:val="clear" w:color="auto" w:fill="auto"/>
            <w:vAlign w:val="center"/>
          </w:tcPr>
          <w:p w14:paraId="69A5412C">
            <w:pPr>
              <w:spacing w:line="360" w:lineRule="auto"/>
              <w:ind w:firstLine="480" w:firstLineChars="200"/>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说明书&amp;保修卡&amp;合格证</w:t>
            </w:r>
          </w:p>
        </w:tc>
        <w:tc>
          <w:tcPr>
            <w:tcW w:w="3464" w:type="dxa"/>
            <w:tcBorders>
              <w:tl2br w:val="nil"/>
              <w:tr2bl w:val="nil"/>
            </w:tcBorders>
            <w:shd w:val="clear" w:color="auto" w:fill="auto"/>
            <w:vAlign w:val="center"/>
          </w:tcPr>
          <w:p w14:paraId="0FD11EDD">
            <w:pPr>
              <w:spacing w:line="360" w:lineRule="auto"/>
              <w:ind w:firstLine="480" w:firstLineChars="200"/>
              <w:jc w:val="both"/>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1份</w:t>
            </w:r>
          </w:p>
        </w:tc>
      </w:tr>
    </w:tbl>
    <w:p w14:paraId="78606607">
      <w:pPr>
        <w:widowControl/>
        <w:shd w:val="clear" w:color="auto" w:fill="FFFFFF"/>
        <w:jc w:val="both"/>
        <w:textAlignment w:val="center"/>
      </w:pPr>
    </w:p>
    <w:p w14:paraId="0D247191">
      <w:pPr>
        <w:spacing w:line="360" w:lineRule="auto"/>
        <w:jc w:val="both"/>
        <w:rPr>
          <w:rFonts w:hint="eastAsia" w:ascii="宋体" w:hAnsi="宋体" w:cs="宋体"/>
          <w:color w:val="2F5597" w:themeColor="accent1" w:themeShade="BF"/>
          <w:sz w:val="24"/>
          <w:szCs w:val="24"/>
          <w:lang w:val="en-US" w:eastAsia="zh-CN"/>
        </w:rPr>
      </w:pPr>
    </w:p>
    <w:sectPr>
      <w:headerReference r:id="rId3" w:type="default"/>
      <w:footerReference r:id="rId4" w:type="default"/>
      <w:pgSz w:w="11906" w:h="16838"/>
      <w:pgMar w:top="1440" w:right="1800" w:bottom="1440" w:left="1800" w:header="850" w:footer="964"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AC1B8">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683295ED">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03DA4825">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BAF5A">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13E64CA5">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55CE35B4">
    <w:pPr>
      <w:jc w:val="center"/>
      <w:rPr>
        <w:sz w:val="24"/>
        <w:szCs w:val="24"/>
      </w:rPr>
    </w:pPr>
    <w:r>
      <w:rPr>
        <w:rFonts w:hint="eastAsia"/>
        <w:b/>
        <w:bCs/>
        <w:color w:val="203864" w:themeColor="accent1" w:themeShade="80"/>
        <w:kern w:val="0"/>
      </w:rPr>
      <w:t>Shanghai Huxi Industry Co., Ltd.,</w:t>
    </w:r>
  </w:p>
  <w:p w14:paraId="35D03313">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A388EB"/>
    <w:multiLevelType w:val="singleLevel"/>
    <w:tmpl w:val="55A388EB"/>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2414F"/>
    <w:rsid w:val="00091A92"/>
    <w:rsid w:val="000A30B6"/>
    <w:rsid w:val="000F0EE7"/>
    <w:rsid w:val="00172A27"/>
    <w:rsid w:val="001C2F0D"/>
    <w:rsid w:val="0020067A"/>
    <w:rsid w:val="00227827"/>
    <w:rsid w:val="00262F28"/>
    <w:rsid w:val="002B6FFF"/>
    <w:rsid w:val="002C777E"/>
    <w:rsid w:val="002F2DF2"/>
    <w:rsid w:val="002F500E"/>
    <w:rsid w:val="002F74BD"/>
    <w:rsid w:val="00343CBD"/>
    <w:rsid w:val="003775A9"/>
    <w:rsid w:val="003D498D"/>
    <w:rsid w:val="004277C9"/>
    <w:rsid w:val="004A2EE0"/>
    <w:rsid w:val="004E7E09"/>
    <w:rsid w:val="00535C95"/>
    <w:rsid w:val="00580C1D"/>
    <w:rsid w:val="00596893"/>
    <w:rsid w:val="005A5BBC"/>
    <w:rsid w:val="0069114D"/>
    <w:rsid w:val="00732078"/>
    <w:rsid w:val="00741072"/>
    <w:rsid w:val="007650E0"/>
    <w:rsid w:val="007A51F4"/>
    <w:rsid w:val="007E64E9"/>
    <w:rsid w:val="00854961"/>
    <w:rsid w:val="008B2ECB"/>
    <w:rsid w:val="00955DE4"/>
    <w:rsid w:val="0098299C"/>
    <w:rsid w:val="00990FAD"/>
    <w:rsid w:val="009E7CF6"/>
    <w:rsid w:val="00A4672B"/>
    <w:rsid w:val="00A94E0D"/>
    <w:rsid w:val="00AA4A1B"/>
    <w:rsid w:val="00AA5CBF"/>
    <w:rsid w:val="00B61697"/>
    <w:rsid w:val="00B839ED"/>
    <w:rsid w:val="00BD42F1"/>
    <w:rsid w:val="00C47428"/>
    <w:rsid w:val="00C83139"/>
    <w:rsid w:val="00DA0404"/>
    <w:rsid w:val="00DA6A09"/>
    <w:rsid w:val="00E15CAB"/>
    <w:rsid w:val="00E2271A"/>
    <w:rsid w:val="00E43C10"/>
    <w:rsid w:val="00E54BE6"/>
    <w:rsid w:val="00E610B3"/>
    <w:rsid w:val="00E62DD8"/>
    <w:rsid w:val="00E900EE"/>
    <w:rsid w:val="00EC783E"/>
    <w:rsid w:val="00EF22FA"/>
    <w:rsid w:val="00EF585C"/>
    <w:rsid w:val="00F961F4"/>
    <w:rsid w:val="00FB5352"/>
    <w:rsid w:val="00FE197F"/>
    <w:rsid w:val="016204C5"/>
    <w:rsid w:val="017212D3"/>
    <w:rsid w:val="019262A0"/>
    <w:rsid w:val="01CB731F"/>
    <w:rsid w:val="026F6AA3"/>
    <w:rsid w:val="028024DC"/>
    <w:rsid w:val="02AA71DB"/>
    <w:rsid w:val="02AE74AD"/>
    <w:rsid w:val="02BE76F8"/>
    <w:rsid w:val="02D933F4"/>
    <w:rsid w:val="02F87F3E"/>
    <w:rsid w:val="03743872"/>
    <w:rsid w:val="03F258F4"/>
    <w:rsid w:val="04E918A9"/>
    <w:rsid w:val="0692734F"/>
    <w:rsid w:val="06C246A6"/>
    <w:rsid w:val="07553E41"/>
    <w:rsid w:val="07556172"/>
    <w:rsid w:val="07724207"/>
    <w:rsid w:val="08853248"/>
    <w:rsid w:val="08C07E24"/>
    <w:rsid w:val="091F1204"/>
    <w:rsid w:val="0932487E"/>
    <w:rsid w:val="0A051F93"/>
    <w:rsid w:val="0A184A29"/>
    <w:rsid w:val="0A1A7AB5"/>
    <w:rsid w:val="0A366F57"/>
    <w:rsid w:val="0A71587A"/>
    <w:rsid w:val="0A8244D6"/>
    <w:rsid w:val="0A965B96"/>
    <w:rsid w:val="0AF74046"/>
    <w:rsid w:val="0C3D3863"/>
    <w:rsid w:val="0CA94959"/>
    <w:rsid w:val="0D3E7415"/>
    <w:rsid w:val="0F0F5662"/>
    <w:rsid w:val="0FD92550"/>
    <w:rsid w:val="103179D6"/>
    <w:rsid w:val="104938EE"/>
    <w:rsid w:val="10872F6F"/>
    <w:rsid w:val="10BD2820"/>
    <w:rsid w:val="10C02CE0"/>
    <w:rsid w:val="10E60B82"/>
    <w:rsid w:val="11331200"/>
    <w:rsid w:val="11385EB2"/>
    <w:rsid w:val="117D1E52"/>
    <w:rsid w:val="11E93877"/>
    <w:rsid w:val="11FF1802"/>
    <w:rsid w:val="125549F7"/>
    <w:rsid w:val="12F323D9"/>
    <w:rsid w:val="13377D20"/>
    <w:rsid w:val="148D3001"/>
    <w:rsid w:val="14AE3227"/>
    <w:rsid w:val="1549069D"/>
    <w:rsid w:val="15D5436E"/>
    <w:rsid w:val="15E739C9"/>
    <w:rsid w:val="162626F1"/>
    <w:rsid w:val="163338FF"/>
    <w:rsid w:val="167836D1"/>
    <w:rsid w:val="16855545"/>
    <w:rsid w:val="16A71820"/>
    <w:rsid w:val="17847F27"/>
    <w:rsid w:val="17AD77C6"/>
    <w:rsid w:val="184B5853"/>
    <w:rsid w:val="185F757C"/>
    <w:rsid w:val="18711AC3"/>
    <w:rsid w:val="1886336C"/>
    <w:rsid w:val="18E75226"/>
    <w:rsid w:val="19374D2D"/>
    <w:rsid w:val="19471AEB"/>
    <w:rsid w:val="1976192B"/>
    <w:rsid w:val="198371FD"/>
    <w:rsid w:val="19963FC1"/>
    <w:rsid w:val="19A82008"/>
    <w:rsid w:val="1A4C7833"/>
    <w:rsid w:val="1AB80B3F"/>
    <w:rsid w:val="1B871C86"/>
    <w:rsid w:val="1BBE1FA1"/>
    <w:rsid w:val="1BDE2644"/>
    <w:rsid w:val="1C1A691F"/>
    <w:rsid w:val="1C40270E"/>
    <w:rsid w:val="1C4A28F1"/>
    <w:rsid w:val="1C8D4EFF"/>
    <w:rsid w:val="1DA530EA"/>
    <w:rsid w:val="1E486378"/>
    <w:rsid w:val="1EEB4FA4"/>
    <w:rsid w:val="1F33268E"/>
    <w:rsid w:val="1F995798"/>
    <w:rsid w:val="20832DF2"/>
    <w:rsid w:val="20D13E8A"/>
    <w:rsid w:val="20FD0276"/>
    <w:rsid w:val="21222FD3"/>
    <w:rsid w:val="215118DE"/>
    <w:rsid w:val="2159429D"/>
    <w:rsid w:val="216A23E2"/>
    <w:rsid w:val="219314FA"/>
    <w:rsid w:val="22646E3A"/>
    <w:rsid w:val="22E601DB"/>
    <w:rsid w:val="23243285"/>
    <w:rsid w:val="232F5B09"/>
    <w:rsid w:val="238169D3"/>
    <w:rsid w:val="241D3C4F"/>
    <w:rsid w:val="242D08AF"/>
    <w:rsid w:val="246A0583"/>
    <w:rsid w:val="24AE6CFC"/>
    <w:rsid w:val="25165919"/>
    <w:rsid w:val="255B1D54"/>
    <w:rsid w:val="25EF74B4"/>
    <w:rsid w:val="26236FA9"/>
    <w:rsid w:val="26C97A99"/>
    <w:rsid w:val="27D81ED6"/>
    <w:rsid w:val="27E54A18"/>
    <w:rsid w:val="28B95A3F"/>
    <w:rsid w:val="28DC623A"/>
    <w:rsid w:val="295A600F"/>
    <w:rsid w:val="295E0169"/>
    <w:rsid w:val="2A4D10C0"/>
    <w:rsid w:val="2A602115"/>
    <w:rsid w:val="2A847618"/>
    <w:rsid w:val="2AC31D90"/>
    <w:rsid w:val="2B1D4F74"/>
    <w:rsid w:val="2BE36FED"/>
    <w:rsid w:val="2C2B4AD0"/>
    <w:rsid w:val="2C936415"/>
    <w:rsid w:val="2CBC35B2"/>
    <w:rsid w:val="2D270418"/>
    <w:rsid w:val="2D783C00"/>
    <w:rsid w:val="2D9E504D"/>
    <w:rsid w:val="2DBB4423"/>
    <w:rsid w:val="2E5E5B1C"/>
    <w:rsid w:val="2EE45D6B"/>
    <w:rsid w:val="2EF5444A"/>
    <w:rsid w:val="2F020DFC"/>
    <w:rsid w:val="2F2F3979"/>
    <w:rsid w:val="30667F5E"/>
    <w:rsid w:val="308B2B76"/>
    <w:rsid w:val="30D46633"/>
    <w:rsid w:val="31484B6C"/>
    <w:rsid w:val="31A55C86"/>
    <w:rsid w:val="32494755"/>
    <w:rsid w:val="32E822DB"/>
    <w:rsid w:val="332F429B"/>
    <w:rsid w:val="337E2747"/>
    <w:rsid w:val="34121BAC"/>
    <w:rsid w:val="34553DD6"/>
    <w:rsid w:val="348346E6"/>
    <w:rsid w:val="348E7F12"/>
    <w:rsid w:val="35B92EB0"/>
    <w:rsid w:val="35C62DC6"/>
    <w:rsid w:val="3624433A"/>
    <w:rsid w:val="36585CBC"/>
    <w:rsid w:val="368A6E43"/>
    <w:rsid w:val="36914DDB"/>
    <w:rsid w:val="36E10A24"/>
    <w:rsid w:val="37840664"/>
    <w:rsid w:val="379C5565"/>
    <w:rsid w:val="38EB4EFB"/>
    <w:rsid w:val="3946634B"/>
    <w:rsid w:val="39F37C92"/>
    <w:rsid w:val="3A045A6B"/>
    <w:rsid w:val="3A1204A1"/>
    <w:rsid w:val="3A542ACC"/>
    <w:rsid w:val="3ABF1760"/>
    <w:rsid w:val="3AE379C2"/>
    <w:rsid w:val="3AE60833"/>
    <w:rsid w:val="3B5A188F"/>
    <w:rsid w:val="3B675F88"/>
    <w:rsid w:val="3BBF7944"/>
    <w:rsid w:val="3C5E63A4"/>
    <w:rsid w:val="3CD25455"/>
    <w:rsid w:val="3D512FDD"/>
    <w:rsid w:val="3DA6127B"/>
    <w:rsid w:val="3DEB2C5D"/>
    <w:rsid w:val="3DEB6E30"/>
    <w:rsid w:val="3E2B5E06"/>
    <w:rsid w:val="3E331626"/>
    <w:rsid w:val="3E4141B1"/>
    <w:rsid w:val="3E686015"/>
    <w:rsid w:val="3F4304D9"/>
    <w:rsid w:val="40764144"/>
    <w:rsid w:val="40FE0CCC"/>
    <w:rsid w:val="410B44C7"/>
    <w:rsid w:val="412457E9"/>
    <w:rsid w:val="420779B3"/>
    <w:rsid w:val="428733E9"/>
    <w:rsid w:val="43EA5F2F"/>
    <w:rsid w:val="442711AA"/>
    <w:rsid w:val="446A55CB"/>
    <w:rsid w:val="44B11B7E"/>
    <w:rsid w:val="476C61D1"/>
    <w:rsid w:val="49401BFE"/>
    <w:rsid w:val="498B526A"/>
    <w:rsid w:val="49C83E68"/>
    <w:rsid w:val="4A406A40"/>
    <w:rsid w:val="4A527F2C"/>
    <w:rsid w:val="4AA4627F"/>
    <w:rsid w:val="4ADC76DB"/>
    <w:rsid w:val="4C112BE6"/>
    <w:rsid w:val="4CA81950"/>
    <w:rsid w:val="4CAA30C3"/>
    <w:rsid w:val="4D245859"/>
    <w:rsid w:val="4D47724B"/>
    <w:rsid w:val="4D4E77F2"/>
    <w:rsid w:val="4E4D3367"/>
    <w:rsid w:val="4E931B10"/>
    <w:rsid w:val="4F344900"/>
    <w:rsid w:val="4FD73045"/>
    <w:rsid w:val="502076FD"/>
    <w:rsid w:val="50AC16EB"/>
    <w:rsid w:val="5128706E"/>
    <w:rsid w:val="518030EA"/>
    <w:rsid w:val="51C771E3"/>
    <w:rsid w:val="51F9487C"/>
    <w:rsid w:val="52EE746C"/>
    <w:rsid w:val="536D39AA"/>
    <w:rsid w:val="53FC2F37"/>
    <w:rsid w:val="5452446D"/>
    <w:rsid w:val="54EB4F57"/>
    <w:rsid w:val="561D19DF"/>
    <w:rsid w:val="56336C40"/>
    <w:rsid w:val="5636758A"/>
    <w:rsid w:val="563C7D3B"/>
    <w:rsid w:val="56425ACF"/>
    <w:rsid w:val="567A4548"/>
    <w:rsid w:val="56E0707C"/>
    <w:rsid w:val="56F63BEF"/>
    <w:rsid w:val="57141269"/>
    <w:rsid w:val="576F688D"/>
    <w:rsid w:val="57D41957"/>
    <w:rsid w:val="5826783E"/>
    <w:rsid w:val="58926505"/>
    <w:rsid w:val="58A43CF2"/>
    <w:rsid w:val="58C6092D"/>
    <w:rsid w:val="58F34817"/>
    <w:rsid w:val="591C6583"/>
    <w:rsid w:val="594D1214"/>
    <w:rsid w:val="599C0670"/>
    <w:rsid w:val="59AB3574"/>
    <w:rsid w:val="5B204330"/>
    <w:rsid w:val="5BDA755D"/>
    <w:rsid w:val="5DCD0596"/>
    <w:rsid w:val="5DDC6E97"/>
    <w:rsid w:val="5EAF287D"/>
    <w:rsid w:val="5ECB48C5"/>
    <w:rsid w:val="5F0E7E34"/>
    <w:rsid w:val="60471169"/>
    <w:rsid w:val="607225C9"/>
    <w:rsid w:val="608B6872"/>
    <w:rsid w:val="608E59B3"/>
    <w:rsid w:val="61831F86"/>
    <w:rsid w:val="619328E2"/>
    <w:rsid w:val="61FA2450"/>
    <w:rsid w:val="622A1B1D"/>
    <w:rsid w:val="624F31B6"/>
    <w:rsid w:val="626F460D"/>
    <w:rsid w:val="62737F03"/>
    <w:rsid w:val="62993AB4"/>
    <w:rsid w:val="62BD7680"/>
    <w:rsid w:val="62EE29DB"/>
    <w:rsid w:val="63676048"/>
    <w:rsid w:val="63B80222"/>
    <w:rsid w:val="6415023F"/>
    <w:rsid w:val="64632CB3"/>
    <w:rsid w:val="64682077"/>
    <w:rsid w:val="649D0C4F"/>
    <w:rsid w:val="64BB3B0A"/>
    <w:rsid w:val="64CF567C"/>
    <w:rsid w:val="65173864"/>
    <w:rsid w:val="65414924"/>
    <w:rsid w:val="654F38E9"/>
    <w:rsid w:val="65656C3E"/>
    <w:rsid w:val="66C35665"/>
    <w:rsid w:val="67074C35"/>
    <w:rsid w:val="67B86FD5"/>
    <w:rsid w:val="67C97AAC"/>
    <w:rsid w:val="683344CF"/>
    <w:rsid w:val="689543F4"/>
    <w:rsid w:val="68CC736B"/>
    <w:rsid w:val="693A5BF1"/>
    <w:rsid w:val="69A05A18"/>
    <w:rsid w:val="6A301889"/>
    <w:rsid w:val="6A6D6639"/>
    <w:rsid w:val="6AB4227F"/>
    <w:rsid w:val="6AD05C4D"/>
    <w:rsid w:val="6B3B6611"/>
    <w:rsid w:val="6B5251F4"/>
    <w:rsid w:val="6B6C7258"/>
    <w:rsid w:val="6BA7011A"/>
    <w:rsid w:val="6C0373D0"/>
    <w:rsid w:val="6C3D028D"/>
    <w:rsid w:val="6CB542C8"/>
    <w:rsid w:val="6D2E23EC"/>
    <w:rsid w:val="6DFB560B"/>
    <w:rsid w:val="6E180552"/>
    <w:rsid w:val="6F17421F"/>
    <w:rsid w:val="6F752775"/>
    <w:rsid w:val="6F7B3153"/>
    <w:rsid w:val="6F975B11"/>
    <w:rsid w:val="705A68CE"/>
    <w:rsid w:val="7064740A"/>
    <w:rsid w:val="70DF5B9B"/>
    <w:rsid w:val="70F15FC6"/>
    <w:rsid w:val="716763F1"/>
    <w:rsid w:val="71C130F2"/>
    <w:rsid w:val="71E561F0"/>
    <w:rsid w:val="72255E12"/>
    <w:rsid w:val="72DC41BF"/>
    <w:rsid w:val="72E2406D"/>
    <w:rsid w:val="73587C07"/>
    <w:rsid w:val="737F1A45"/>
    <w:rsid w:val="73974732"/>
    <w:rsid w:val="73E61FEE"/>
    <w:rsid w:val="7426410F"/>
    <w:rsid w:val="74A64C8E"/>
    <w:rsid w:val="750140D3"/>
    <w:rsid w:val="75C9337E"/>
    <w:rsid w:val="75EA64FF"/>
    <w:rsid w:val="76070932"/>
    <w:rsid w:val="76651207"/>
    <w:rsid w:val="76674885"/>
    <w:rsid w:val="768E4B8C"/>
    <w:rsid w:val="76E353C5"/>
    <w:rsid w:val="776530C8"/>
    <w:rsid w:val="77C15694"/>
    <w:rsid w:val="78323E75"/>
    <w:rsid w:val="7836761B"/>
    <w:rsid w:val="78981E96"/>
    <w:rsid w:val="78F84331"/>
    <w:rsid w:val="792E3438"/>
    <w:rsid w:val="79FB6B36"/>
    <w:rsid w:val="7A61311F"/>
    <w:rsid w:val="7A664B08"/>
    <w:rsid w:val="7AA2317C"/>
    <w:rsid w:val="7B70313E"/>
    <w:rsid w:val="7B965710"/>
    <w:rsid w:val="7C234B6F"/>
    <w:rsid w:val="7C606DCA"/>
    <w:rsid w:val="7C884387"/>
    <w:rsid w:val="7CAD3559"/>
    <w:rsid w:val="7D7635FF"/>
    <w:rsid w:val="7D806002"/>
    <w:rsid w:val="7EC87803"/>
    <w:rsid w:val="7FBF58C7"/>
    <w:rsid w:val="7FD21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after="260" w:line="413" w:lineRule="auto"/>
      <w:outlineLvl w:val="2"/>
    </w:pPr>
    <w:rPr>
      <w:b/>
      <w:sz w:val="32"/>
    </w:rPr>
  </w:style>
  <w:style w:type="paragraph" w:styleId="5">
    <w:name w:val="heading 4"/>
    <w:basedOn w:val="1"/>
    <w:next w:val="1"/>
    <w:autoRedefine/>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827B9-FC2E-4E73-B9DA-8BC9F2039351}">
  <ds:schemaRefs/>
</ds:datastoreItem>
</file>

<file path=docProps/app.xml><?xml version="1.0" encoding="utf-8"?>
<Properties xmlns="http://schemas.openxmlformats.org/officeDocument/2006/extended-properties" xmlns:vt="http://schemas.openxmlformats.org/officeDocument/2006/docPropsVTypes">
  <Template>Normal</Template>
  <Pages>4</Pages>
  <Words>1070</Words>
  <Characters>1221</Characters>
  <Lines>5</Lines>
  <Paragraphs>1</Paragraphs>
  <TotalTime>0</TotalTime>
  <ScaleCrop>false</ScaleCrop>
  <LinksUpToDate>false</LinksUpToDate>
  <CharactersWithSpaces>1223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2024-08-07T03:22:54Z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031B26B0189445E4B83AF43C6EC3FBCA</vt:lpwstr>
  </property>
</Properties>
</file>