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F6428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883025" cy="3883025"/>
            <wp:effectExtent l="0" t="0" r="3175" b="317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DE6E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81915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B2691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RWD500大功率搅拌机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6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dm/GE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D6B2691"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RWD500大功率搅拌机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962025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5.75pt;height:0.3pt;width:415.15pt;z-index:-251656192;mso-width-relative:page;mso-height-relative:page;" filled="f" stroked="t" coordsize="21600,21600" o:gfxdata="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3wf7P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B48198D">
      <w:pPr>
        <w:spacing w:beforeLines="0" w:afterLines="0" w:line="360" w:lineRule="auto"/>
        <w:jc w:val="left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RWD500是专为实验室或者中试车间、工业生产而设计的大功率搅拌机，该机设计结构精巧，由驱动电机、增距机构及调速控制器等组成。适合大容量、低至中、高粘度的混合搅拌，可广泛应用于日化、制药、化工、材料、能源等行业。</w:t>
      </w:r>
    </w:p>
    <w:p w14:paraId="6EC93BB5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6B999429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D172395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0~9999min时间范围可任意设定；</w:t>
      </w:r>
    </w:p>
    <w:p w14:paraId="13ABD5AD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LCD屏实时显示运行时间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转速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及扭矩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3042193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采用无刷直流马达，高功效、大扭矩、无污染、无电火花，安全可靠；</w:t>
      </w:r>
    </w:p>
    <w:p w14:paraId="0549D185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配备电动升降功能，可根据实验需求调节升降高度、最高行程高达500mm；</w:t>
      </w:r>
    </w:p>
    <w:p w14:paraId="77E3E16E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底座安装可移动带刹车式脚轮，移动方便快捷；</w:t>
      </w:r>
    </w:p>
    <w:p w14:paraId="1B8334A1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内置安全回路，过载、过热自动保护，无忧连续运行；</w:t>
      </w:r>
    </w:p>
    <w:p w14:paraId="4F410D71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穿透孔桨叶设计，方便操作，可长时间运行；</w:t>
      </w:r>
    </w:p>
    <w:p w14:paraId="1F9FFDB2"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铝合金升降立柱，选材精良，运行稳定，噪音低，同时确保持久使用的机械</w:t>
      </w:r>
    </w:p>
    <w:p w14:paraId="26D6ABFF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精度以及电气性能。</w:t>
      </w:r>
    </w:p>
    <w:p w14:paraId="31D407A7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0E18D09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7"/>
        <w:gridCol w:w="4625"/>
      </w:tblGrid>
      <w:tr w14:paraId="0A9007B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A7016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型号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DF1F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RWD500</w:t>
            </w:r>
          </w:p>
        </w:tc>
      </w:tr>
      <w:tr w14:paraId="75699D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CA42C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4B71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1003016001</w:t>
            </w:r>
          </w:p>
        </w:tc>
      </w:tr>
      <w:tr w14:paraId="686E5F1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2C669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输入电压V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09DB1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200~240</w:t>
            </w:r>
          </w:p>
        </w:tc>
      </w:tr>
      <w:tr w14:paraId="4A604F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1ACE3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频率HZ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5D308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50~60</w:t>
            </w:r>
          </w:p>
        </w:tc>
      </w:tr>
      <w:tr w14:paraId="782BAD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423562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电机类型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5BCC446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直流无刷电机</w:t>
            </w:r>
          </w:p>
        </w:tc>
      </w:tr>
      <w:tr w14:paraId="57405F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3E395C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输入功率W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19DF824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1000</w:t>
            </w:r>
          </w:p>
        </w:tc>
      </w:tr>
      <w:tr w14:paraId="2218C2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062F16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输出功率W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614EB6E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</w:t>
            </w:r>
          </w:p>
        </w:tc>
      </w:tr>
      <w:tr w14:paraId="344ED7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71562DE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搅拌容量L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357EC54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</w:t>
            </w:r>
          </w:p>
        </w:tc>
      </w:tr>
      <w:tr w14:paraId="6F8120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520043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转速范围rpm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16FC9B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200~</w:t>
            </w:r>
            <w:bookmarkStart w:id="0" w:name="_GoBack"/>
            <w:bookmarkEnd w:id="0"/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1000</w:t>
            </w:r>
          </w:p>
        </w:tc>
      </w:tr>
      <w:tr w14:paraId="633999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1B6E9A4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转速精度rpm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19086BF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±1</w:t>
            </w:r>
          </w:p>
        </w:tc>
      </w:tr>
      <w:tr w14:paraId="794ACB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1C7DB8B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转速显示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6570AE5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LCD</w:t>
            </w:r>
          </w:p>
        </w:tc>
      </w:tr>
      <w:tr w14:paraId="066794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2570FF3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调节方式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75D75A7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按键&amp;旋钮&amp;触摸</w:t>
            </w:r>
          </w:p>
        </w:tc>
      </w:tr>
      <w:tr w14:paraId="2974A1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65F96A5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定时范围min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02C3B0F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0~9999</w:t>
            </w:r>
          </w:p>
        </w:tc>
      </w:tr>
      <w:tr w14:paraId="3D2080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44B6F4B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时间显示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6A0B08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LCD</w:t>
            </w:r>
          </w:p>
        </w:tc>
      </w:tr>
      <w:tr w14:paraId="4E1125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52872C1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37ACB93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按键&amp;旋钮&amp;触摸</w:t>
            </w:r>
          </w:p>
        </w:tc>
      </w:tr>
      <w:tr w14:paraId="73BFE8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6F7D315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升降行程mm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EF47DE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</w:t>
            </w:r>
          </w:p>
        </w:tc>
      </w:tr>
      <w:tr w14:paraId="45EDE1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1ED05F2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52E4786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电动升降</w:t>
            </w:r>
          </w:p>
        </w:tc>
      </w:tr>
      <w:tr w14:paraId="5BB8CB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55DABDA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立柱材质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BD484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铝合金</w:t>
            </w:r>
          </w:p>
        </w:tc>
      </w:tr>
      <w:tr w14:paraId="2F9DD4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78C71E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标配夹头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6E70871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安全锁紧夹</w:t>
            </w:r>
          </w:p>
        </w:tc>
      </w:tr>
      <w:tr w14:paraId="44E00C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01D490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夹头范围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1B88858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3~16mm</w:t>
            </w:r>
          </w:p>
        </w:tc>
      </w:tr>
      <w:tr w14:paraId="1DEF2B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2A11C5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允许环境温度℃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1239C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5~40</w:t>
            </w:r>
          </w:p>
        </w:tc>
      </w:tr>
      <w:tr w14:paraId="235C98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79C209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允许环境湿度%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4EC8709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</w:t>
            </w:r>
          </w:p>
        </w:tc>
      </w:tr>
      <w:tr w14:paraId="4F0580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4733CB1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仪器尺寸mm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5CEAEC3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1150*650*1150</w:t>
            </w:r>
          </w:p>
        </w:tc>
      </w:tr>
      <w:tr w14:paraId="11669B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64A66F2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包装尺寸mm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20D501D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1300*1100*1400</w:t>
            </w:r>
          </w:p>
        </w:tc>
      </w:tr>
      <w:tr w14:paraId="24F44D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016DC56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仪器净重kg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4FB4B5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</w:t>
            </w:r>
          </w:p>
        </w:tc>
      </w:tr>
      <w:tr w14:paraId="4F55BF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 w14:paraId="33C2DF7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仪器毛重kg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 w14:paraId="5618745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</w:t>
            </w:r>
          </w:p>
        </w:tc>
      </w:tr>
    </w:tbl>
    <w:p w14:paraId="14884B9A">
      <w:pPr>
        <w:spacing w:line="400" w:lineRule="exact"/>
        <w:jc w:val="left"/>
        <w:rPr>
          <w:rFonts w:hint="default" w:ascii="微软雅黑" w:hAnsi="微软雅黑" w:eastAsia="微软雅黑" w:cs="微软雅黑"/>
          <w:szCs w:val="21"/>
          <w:lang w:eastAsia="zh-CN"/>
        </w:rPr>
      </w:pPr>
    </w:p>
    <w:p w14:paraId="54483F75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4470"/>
        <w:gridCol w:w="2219"/>
      </w:tblGrid>
      <w:tr w14:paraId="26F4E8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34E15E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3EF7826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426FB84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7F7AE0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797D4E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7CBDF3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6E79A3A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322BF2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1D0678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3C63D5B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不锈钢四叶式搅拌桨（搅拌桨杆直径φ16mm，长1000mm，桨叶直径120mm）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28F109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334337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56123A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3893D68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夹头松紧调节器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1096E6E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1个</w:t>
            </w:r>
          </w:p>
        </w:tc>
      </w:tr>
      <w:tr w14:paraId="429E4B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609891D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4182BC4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6F8485C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2FB13C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4" w:type="pct"/>
            <w:tcBorders>
              <w:tl2br w:val="nil"/>
              <w:tr2bl w:val="nil"/>
            </w:tcBorders>
            <w:vAlign w:val="center"/>
          </w:tcPr>
          <w:p w14:paraId="133066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2623" w:type="pct"/>
            <w:tcBorders>
              <w:tl2br w:val="nil"/>
              <w:tr2bl w:val="nil"/>
            </w:tcBorders>
            <w:vAlign w:val="center"/>
          </w:tcPr>
          <w:p w14:paraId="04DE00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说明书&amp;合格证&amp;保修卡</w:t>
            </w:r>
          </w:p>
        </w:tc>
        <w:tc>
          <w:tcPr>
            <w:tcW w:w="1302" w:type="pct"/>
            <w:tcBorders>
              <w:tl2br w:val="nil"/>
              <w:tr2bl w:val="nil"/>
            </w:tcBorders>
            <w:vAlign w:val="center"/>
          </w:tcPr>
          <w:p w14:paraId="2FF681E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28623B0D"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FDA4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1D4822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97129C6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74FB8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BBD632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57A4783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71B71D7">
    <w:pPr>
      <w:pStyle w:val="9"/>
      <w:jc w:val="both"/>
    </w:pPr>
  </w:p>
  <w:p w14:paraId="1A1DB81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6E76D4"/>
    <w:multiLevelType w:val="singleLevel"/>
    <w:tmpl w:val="616E76D4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8F46966"/>
    <w:rsid w:val="091F1204"/>
    <w:rsid w:val="0A184A29"/>
    <w:rsid w:val="0A366F57"/>
    <w:rsid w:val="0A6651C5"/>
    <w:rsid w:val="0A965B96"/>
    <w:rsid w:val="0AD32091"/>
    <w:rsid w:val="0E1055CF"/>
    <w:rsid w:val="0E5E210D"/>
    <w:rsid w:val="0E755D99"/>
    <w:rsid w:val="10C02CE0"/>
    <w:rsid w:val="10E60B82"/>
    <w:rsid w:val="11385EB2"/>
    <w:rsid w:val="117D1E52"/>
    <w:rsid w:val="11B80688"/>
    <w:rsid w:val="12F323D9"/>
    <w:rsid w:val="13377D20"/>
    <w:rsid w:val="13496F9F"/>
    <w:rsid w:val="162626F1"/>
    <w:rsid w:val="163338FF"/>
    <w:rsid w:val="167836D1"/>
    <w:rsid w:val="16855545"/>
    <w:rsid w:val="16A71820"/>
    <w:rsid w:val="18711AC3"/>
    <w:rsid w:val="1886336C"/>
    <w:rsid w:val="19311E4B"/>
    <w:rsid w:val="1976192B"/>
    <w:rsid w:val="1A4C7833"/>
    <w:rsid w:val="1AB80B3F"/>
    <w:rsid w:val="1B871C86"/>
    <w:rsid w:val="1C4A28F1"/>
    <w:rsid w:val="1C8D4EFF"/>
    <w:rsid w:val="1D8D2DA0"/>
    <w:rsid w:val="1DE275D5"/>
    <w:rsid w:val="1E486378"/>
    <w:rsid w:val="1F995798"/>
    <w:rsid w:val="210D524B"/>
    <w:rsid w:val="2159429D"/>
    <w:rsid w:val="216A23E2"/>
    <w:rsid w:val="21C226FE"/>
    <w:rsid w:val="2221371D"/>
    <w:rsid w:val="22E601DB"/>
    <w:rsid w:val="23243285"/>
    <w:rsid w:val="24117770"/>
    <w:rsid w:val="241D3C4F"/>
    <w:rsid w:val="246A0583"/>
    <w:rsid w:val="24AE6CFC"/>
    <w:rsid w:val="295A600F"/>
    <w:rsid w:val="29B52F66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23DE7"/>
    <w:rsid w:val="32494755"/>
    <w:rsid w:val="324C67BB"/>
    <w:rsid w:val="34121BAC"/>
    <w:rsid w:val="348346E6"/>
    <w:rsid w:val="348E7F12"/>
    <w:rsid w:val="349504EB"/>
    <w:rsid w:val="354872DA"/>
    <w:rsid w:val="35B92EB0"/>
    <w:rsid w:val="36585CBC"/>
    <w:rsid w:val="36E10A24"/>
    <w:rsid w:val="39770A95"/>
    <w:rsid w:val="3A045A6B"/>
    <w:rsid w:val="3A542ACC"/>
    <w:rsid w:val="3ABF1760"/>
    <w:rsid w:val="3B0529E3"/>
    <w:rsid w:val="3C5E63A4"/>
    <w:rsid w:val="3CB86F3E"/>
    <w:rsid w:val="3DA6127B"/>
    <w:rsid w:val="3DEB6E30"/>
    <w:rsid w:val="3E2B5E06"/>
    <w:rsid w:val="40764144"/>
    <w:rsid w:val="410B44C7"/>
    <w:rsid w:val="427D2742"/>
    <w:rsid w:val="43EA5F2F"/>
    <w:rsid w:val="442711AA"/>
    <w:rsid w:val="45E369C8"/>
    <w:rsid w:val="47100356"/>
    <w:rsid w:val="48B17634"/>
    <w:rsid w:val="496D226E"/>
    <w:rsid w:val="498B526A"/>
    <w:rsid w:val="4A527F2C"/>
    <w:rsid w:val="4A6E6488"/>
    <w:rsid w:val="4AA4627F"/>
    <w:rsid w:val="4ADC76DB"/>
    <w:rsid w:val="4CA81950"/>
    <w:rsid w:val="4D4E77F2"/>
    <w:rsid w:val="4E562993"/>
    <w:rsid w:val="4E931B10"/>
    <w:rsid w:val="4FD73045"/>
    <w:rsid w:val="51C771E3"/>
    <w:rsid w:val="51E76674"/>
    <w:rsid w:val="51F9487C"/>
    <w:rsid w:val="52EE746C"/>
    <w:rsid w:val="53733364"/>
    <w:rsid w:val="5452446D"/>
    <w:rsid w:val="54D77948"/>
    <w:rsid w:val="55DF7D7D"/>
    <w:rsid w:val="563C7D3B"/>
    <w:rsid w:val="567A4548"/>
    <w:rsid w:val="569F1537"/>
    <w:rsid w:val="576F688D"/>
    <w:rsid w:val="57BF111B"/>
    <w:rsid w:val="5826783E"/>
    <w:rsid w:val="58926505"/>
    <w:rsid w:val="58C6092D"/>
    <w:rsid w:val="58F34817"/>
    <w:rsid w:val="591C6583"/>
    <w:rsid w:val="594D1214"/>
    <w:rsid w:val="59AB3574"/>
    <w:rsid w:val="5AC61C59"/>
    <w:rsid w:val="5BDA755D"/>
    <w:rsid w:val="5BF50FFC"/>
    <w:rsid w:val="5CC45D1E"/>
    <w:rsid w:val="5DDC6E97"/>
    <w:rsid w:val="5F6D0B24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905A33"/>
    <w:rsid w:val="66600BA4"/>
    <w:rsid w:val="66F55246"/>
    <w:rsid w:val="67074C35"/>
    <w:rsid w:val="67B86FD5"/>
    <w:rsid w:val="68253C21"/>
    <w:rsid w:val="68500521"/>
    <w:rsid w:val="68CC736B"/>
    <w:rsid w:val="69A05A18"/>
    <w:rsid w:val="6AB4227F"/>
    <w:rsid w:val="6B0A6693"/>
    <w:rsid w:val="6B163AAB"/>
    <w:rsid w:val="6B3B6611"/>
    <w:rsid w:val="6B5251F4"/>
    <w:rsid w:val="6B6C7258"/>
    <w:rsid w:val="6BA7011A"/>
    <w:rsid w:val="6DFB560B"/>
    <w:rsid w:val="6F17421F"/>
    <w:rsid w:val="6F7B3153"/>
    <w:rsid w:val="6F975B11"/>
    <w:rsid w:val="712615E1"/>
    <w:rsid w:val="71E561F0"/>
    <w:rsid w:val="73587C07"/>
    <w:rsid w:val="737F1A45"/>
    <w:rsid w:val="73974732"/>
    <w:rsid w:val="745D093F"/>
    <w:rsid w:val="74A64C8E"/>
    <w:rsid w:val="75EA64FF"/>
    <w:rsid w:val="769548AC"/>
    <w:rsid w:val="76E353C5"/>
    <w:rsid w:val="7731097A"/>
    <w:rsid w:val="77C15694"/>
    <w:rsid w:val="77D0599C"/>
    <w:rsid w:val="78323E75"/>
    <w:rsid w:val="786A64F9"/>
    <w:rsid w:val="78F84331"/>
    <w:rsid w:val="79FB6B36"/>
    <w:rsid w:val="7A61311F"/>
    <w:rsid w:val="7A664B08"/>
    <w:rsid w:val="7AA2317C"/>
    <w:rsid w:val="7B3031F3"/>
    <w:rsid w:val="7B4F1A74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0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3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563</Words>
  <Characters>690</Characters>
  <Lines>3</Lines>
  <Paragraphs>1</Paragraphs>
  <TotalTime>2</TotalTime>
  <ScaleCrop>false</ScaleCrop>
  <LinksUpToDate>false</LinksUpToDate>
  <CharactersWithSpaces>696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2025-06-12T06:00:33Z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RubyTemplateID" linkTarget="0">
    <vt:lpwstr>6</vt:lpwstr>
  </property>
  <property fmtid="{D5CDD505-2E9C-101B-9397-08002B2CF9AE}" pid="4" name="ICV">
    <vt:lpwstr>0B13E816D86B46328A3DEA71CD716FD2_12</vt:lpwstr>
  </property>
  <property fmtid="{D5CDD505-2E9C-101B-9397-08002B2CF9AE}" pid="5" name="KSOTemplateDocerSaveRecord">
    <vt:lpwstr>eyJoZGlkIjoiZThlYzdmZDU4NDA1NmI5ODM1ZDk5MTc4M2VjMzgyYjMiLCJ1c2VySWQiOiI0MzIzNDk0NzMifQ==</vt:lpwstr>
  </property>
</Properties>
</file>