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4A825C">
      <w:pPr>
        <w:numPr>
          <w:ilvl w:val="0"/>
          <w:numId w:val="0"/>
        </w:numPr>
        <w:tabs>
          <w:tab w:val="left" w:pos="7161"/>
        </w:tabs>
        <w:ind w:leftChars="0"/>
        <w:jc w:val="center"/>
        <w:rPr>
          <w:sz w:val="30"/>
        </w:rPr>
      </w:pPr>
      <w:r>
        <w:rPr>
          <w:sz w:val="30"/>
        </w:rPr>
        <w:drawing>
          <wp:inline distT="0" distB="0" distL="114300" distR="114300">
            <wp:extent cx="3054350" cy="3054350"/>
            <wp:effectExtent l="0" t="0" r="6350" b="6350"/>
            <wp:docPr id="1" name="图片 1" descr="JB300-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JB300-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54350" cy="305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3381375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F86A9F">
                            <w:pPr>
                              <w:numPr>
                                <w:ilvl w:val="0"/>
                                <w:numId w:val="0"/>
                              </w:numPr>
                              <w:tabs>
                                <w:tab w:val="left" w:pos="7161"/>
                              </w:tabs>
                              <w:ind w:leftChars="0"/>
                              <w:jc w:val="both"/>
                              <w:rPr>
                                <w:rFonts w:hint="eastAsia" w:ascii="宋体" w:hAnsi="宋体" w:eastAsia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 w:cs="Times New Roman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extrusionH="0" w14:contourW="0" w14:prstMaterial="clear"/>
                              </w:rPr>
                              <w:t>JB200-D强力电动搅拌器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pt;margin-top:266.25pt;height:144pt;width:144pt;mso-wrap-distance-bottom:0pt;mso-wrap-distance-top:0pt;mso-wrap-style:none;z-index:251660288;mso-width-relative:page;mso-height-relative:page;" filled="f" stroked="f" coordsize="21600,21600" o:gfxdata="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RgQ2I9kAAAAL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32F86A9F">
                      <w:pPr>
                        <w:numPr>
                          <w:ilvl w:val="0"/>
                          <w:numId w:val="0"/>
                        </w:numPr>
                        <w:tabs>
                          <w:tab w:val="left" w:pos="7161"/>
                        </w:tabs>
                        <w:ind w:leftChars="0"/>
                        <w:jc w:val="both"/>
                        <w:rPr>
                          <w:rFonts w:hint="eastAsia" w:ascii="宋体" w:hAnsi="宋体" w:eastAsia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 w:cs="Times New Roman"/>
                          <w:b/>
                          <w:color w:val="2F5597" w:themeColor="accent1" w:themeShade="BF"/>
                          <w:sz w:val="24"/>
                          <w:szCs w:val="24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extrusionH="0" w14:contourW="0" w14:prstMaterial="clear"/>
                        </w:rPr>
                        <w:t>JB200-D强力电动搅拌器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425E526">
      <w:pPr>
        <w:numPr>
          <w:ilvl w:val="0"/>
          <w:numId w:val="0"/>
        </w:numPr>
        <w:tabs>
          <w:tab w:val="left" w:pos="7161"/>
        </w:tabs>
        <w:ind w:leftChars="0"/>
        <w:jc w:val="both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1066800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.6pt;margin-top:84pt;height:0.3pt;width:415.15pt;z-index:-251657216;mso-width-relative:page;mso-height-relative:page;" filled="f" stroked="t" coordsize="21600,21600" o:gfxdata="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VWLIFdYAAAAKAQAADwAAAAAAAAABACAAAAAiAAAAZHJzL2Rvd25yZXYueG1sUEsBAhQAFAAAAAgA&#10;h07iQGm1HRHuAQAAtQMAAA4AAAAAAAAAAQAgAAAAJQEAAGRycy9lMm9Eb2MueG1sUEsFBgAAAAAG&#10;AAYAWQEAAIUFAAAAAA==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1、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</w:t>
      </w:r>
      <w:r>
        <w:rPr>
          <w:rFonts w:hint="eastAsia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应用</w:t>
      </w:r>
    </w:p>
    <w:p w14:paraId="4F0D979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JB系列电动搅拌器适用于生物、理化、化妆品、保健品、食品等实验领域，为工厂、科研机构、大专院校和医学等单位的科学研究、产品开发、品质控制和生产过程应用提供液体实验介质混合搅拌的理想设</w:t>
      </w:r>
      <w:r>
        <w:rPr>
          <w:rFonts w:hint="eastAsia" w:ascii="宋体" w:hAnsi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备。</w:t>
      </w:r>
    </w:p>
    <w:p w14:paraId="5726EE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3560115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Chars="0"/>
        <w:textAlignment w:val="auto"/>
        <w:outlineLvl w:val="9"/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5168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2、</w:t>
      </w:r>
      <w:r>
        <w:rPr>
          <w:rFonts w:hint="eastAsia" w:ascii="宋体" w:hAnsi="宋体" w:eastAsia="宋体" w:cs="Times New Roman"/>
          <w:b/>
          <w:color w:val="2F5597" w:themeColor="accent1" w:themeShade="BF"/>
          <w:sz w:val="24"/>
          <w:szCs w:val="24"/>
          <w:lang w:val="en-US" w:eastAsia="zh-CN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产品特点</w:t>
      </w:r>
    </w:p>
    <w:p w14:paraId="37EB9E6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搅拌桨种类繁多，规格多样，适配范围广；</w:t>
      </w:r>
    </w:p>
    <w:p w14:paraId="7E1D606D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搅拌桨专用轧头，卸装方便灵活，操作便捷；</w:t>
      </w:r>
    </w:p>
    <w:p w14:paraId="6DDC20C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开放式机架：介质容器选择性广，搅拌混合方便；</w:t>
      </w:r>
    </w:p>
    <w:p w14:paraId="24F61245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仪器规格多样，满足不同样品容量以及不同粘度的搅拌需求；</w:t>
      </w:r>
    </w:p>
    <w:p w14:paraId="4451EC7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无段变速控制：任意选择实验运行转速，应用范围广，调速方便；</w:t>
      </w:r>
    </w:p>
    <w:p w14:paraId="069D4CBE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铝质金属机壳确保持久使用的机械精度以及连续使用的电气性能；</w:t>
      </w:r>
    </w:p>
    <w:p w14:paraId="184FEF9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驱动电机采用功率大、结构紧凑的串激式微型电机，运行安全可靠；</w:t>
      </w:r>
    </w:p>
    <w:p w14:paraId="04563AE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产品设计新颖、制造工艺先进、低速运行转矩输出大，连续使用性能好；</w:t>
      </w:r>
    </w:p>
    <w:p w14:paraId="324B8E0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425" w:leftChars="0" w:right="0" w:hanging="425" w:firstLineChars="0"/>
        <w:jc w:val="left"/>
        <w:textAlignment w:val="auto"/>
        <w:outlineLvl w:val="9"/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采用多级非金属齿轮传递增力，转矩成倍增加、运行状态稳定、噪音低</w:t>
      </w:r>
      <w:bookmarkStart w:id="0" w:name="_GoBack"/>
      <w:bookmarkEnd w:id="0"/>
      <w:r>
        <w:rPr>
          <w:rFonts w:hint="eastAsia" w:ascii="宋体" w:hAnsi="宋体" w:eastAsia="宋体" w:cs="宋体"/>
          <w:color w:val="2F5597" w:themeColor="accent1" w:themeShade="BF"/>
          <w:kern w:val="2"/>
          <w:sz w:val="24"/>
          <w:szCs w:val="24"/>
          <w:lang w:val="en-US" w:eastAsia="zh-CN" w:bidi="ar-SA"/>
        </w:rPr>
        <w:t>。</w:t>
      </w:r>
    </w:p>
    <w:p w14:paraId="68C37B1E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7B6B0130">
      <w:pPr>
        <w:pStyle w:val="10"/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ascii="宋体" w:hAnsi="宋体" w:eastAsia="宋体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技术参数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65C43565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E46D295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型号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3C91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JB</w:t>
            </w: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0-D</w:t>
            </w:r>
          </w:p>
        </w:tc>
      </w:tr>
      <w:tr w14:paraId="4147742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05781E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default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货号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4D2720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1003012001</w:t>
            </w:r>
          </w:p>
        </w:tc>
      </w:tr>
      <w:tr w14:paraId="6C04828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1BD0744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转速范围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51A81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50-1200r/min</w:t>
            </w:r>
          </w:p>
        </w:tc>
      </w:tr>
      <w:tr w14:paraId="15AE0F1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978306A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最大搅拌量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2736A3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60000ml</w:t>
            </w:r>
          </w:p>
        </w:tc>
      </w:tr>
      <w:tr w14:paraId="383C5F9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E2B7AC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输入功率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511563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340W</w:t>
            </w:r>
          </w:p>
        </w:tc>
      </w:tr>
      <w:tr w14:paraId="1E730D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6A43D3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输出功率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6F395E40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200W</w:t>
            </w:r>
          </w:p>
        </w:tc>
      </w:tr>
      <w:tr w14:paraId="47135CF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F16A4D3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调速方法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32434D6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无级</w:t>
            </w:r>
          </w:p>
        </w:tc>
      </w:tr>
      <w:tr w14:paraId="16ED521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7D56801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使用电源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5C3FB81B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AC220V50Hz</w:t>
            </w:r>
          </w:p>
        </w:tc>
      </w:tr>
      <w:tr w14:paraId="7C7E3D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750F809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额定转矩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259D3477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146N.cm</w:t>
            </w:r>
          </w:p>
        </w:tc>
      </w:tr>
      <w:tr w14:paraId="09D015E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47EED3F8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外形尺寸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36E5AF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360*280*730mm</w:t>
            </w:r>
          </w:p>
        </w:tc>
      </w:tr>
      <w:tr w14:paraId="3328027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3A60C8E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包装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尺寸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0B45A2E2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520*490*195</w:t>
            </w: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mm</w:t>
            </w:r>
          </w:p>
        </w:tc>
      </w:tr>
      <w:tr w14:paraId="55089F8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0150991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毛重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center"/>
          </w:tcPr>
          <w:p w14:paraId="184B2DAE">
            <w:pPr>
              <w:keepNext w:val="0"/>
              <w:keepLines w:val="0"/>
              <w:widowControl/>
              <w:suppressLineNumbers w:val="0"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13kg</w:t>
            </w:r>
          </w:p>
        </w:tc>
      </w:tr>
    </w:tbl>
    <w:p w14:paraId="48951A7A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0EF5CBC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  <w:r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  <w:t>4、装箱清单</w:t>
      </w:r>
    </w:p>
    <w:tbl>
      <w:tblPr>
        <w:tblStyle w:val="12"/>
        <w:tblW w:w="8522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35F76B8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BC2D07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名称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8542568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数量</w:t>
            </w:r>
          </w:p>
        </w:tc>
      </w:tr>
      <w:tr w14:paraId="66EF107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54A5154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搅拌主机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437EF52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ACD531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CCE16E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支撑固定架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00F43B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1E28E54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3BE529E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机座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265BEE1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 w14:paraId="519F96B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C8E3A3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立柱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CD85CD4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2根</w:t>
            </w:r>
          </w:p>
        </w:tc>
      </w:tr>
      <w:tr w14:paraId="6ADAB33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DB66047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支柱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5BAD0525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7B5168B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8198AF9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冷凝夹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4FA63CA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1套</w:t>
            </w:r>
          </w:p>
        </w:tc>
      </w:tr>
      <w:tr w14:paraId="2C400CCD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2723A495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搅拌棒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5359F53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1件</w:t>
            </w:r>
          </w:p>
        </w:tc>
      </w:tr>
      <w:tr w14:paraId="37D56670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A2E9228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电源线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95EC337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1根</w:t>
            </w:r>
          </w:p>
        </w:tc>
      </w:tr>
      <w:tr w14:paraId="409FA59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6BF0913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电刷（备件）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23A57EF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1付</w:t>
            </w:r>
          </w:p>
        </w:tc>
      </w:tr>
      <w:tr w14:paraId="21714B2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719669DB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调速控制器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018C8A5A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1台</w:t>
            </w:r>
          </w:p>
        </w:tc>
      </w:tr>
      <w:tr w14:paraId="5D7689FC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3FD318D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合格证（含保修卡）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7DEC12C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  <w:tr w14:paraId="0F60AF27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354EE543">
            <w:pPr>
              <w:keepNext w:val="0"/>
              <w:keepLines w:val="0"/>
              <w:widowControl/>
              <w:suppressLineNumbers w:val="0"/>
              <w:spacing w:before="0" w:beforeLines="0" w:beforeAutospacing="0" w:after="0" w:afterLines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使用说明书</w:t>
            </w:r>
          </w:p>
        </w:tc>
        <w:tc>
          <w:tcPr>
            <w:tcW w:w="4261" w:type="dxa"/>
            <w:tcBorders>
              <w:tl2br w:val="nil"/>
              <w:tr2bl w:val="nil"/>
            </w:tcBorders>
            <w:vAlign w:val="top"/>
          </w:tcPr>
          <w:p w14:paraId="140AC736">
            <w:pPr>
              <w:pStyle w:val="10"/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color w:val="2F5597" w:themeColor="accent1" w:themeShade="BF"/>
                <w:kern w:val="2"/>
                <w:sz w:val="24"/>
                <w:szCs w:val="24"/>
                <w:lang w:val="en-US" w:eastAsia="zh-CN" w:bidi="ar-SA"/>
              </w:rPr>
              <w:t>1份</w:t>
            </w:r>
          </w:p>
        </w:tc>
      </w:tr>
    </w:tbl>
    <w:p w14:paraId="7D001902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uto"/>
        <w:ind w:left="0" w:right="0" w:firstLine="0"/>
        <w:rPr>
          <w:rFonts w:hint="eastAsia" w:ascii="宋体" w:hAnsi="宋体" w:eastAsia="宋体" w:cs="Times New Roman"/>
          <w:color w:val="2F5597" w:themeColor="accent1" w:themeShade="BF"/>
          <w:kern w:val="2"/>
          <w:sz w:val="24"/>
          <w:szCs w:val="24"/>
          <w:lang w:val="en-US" w:eastAsia="zh-CN" w:bidi="ar-SA"/>
        </w:rPr>
      </w:pPr>
    </w:p>
    <w:p w14:paraId="594132C8">
      <w:pPr>
        <w:pStyle w:val="10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Chars="0" w:right="0" w:rightChars="0"/>
        <w:jc w:val="left"/>
        <w:textAlignment w:val="auto"/>
        <w:outlineLvl w:val="9"/>
        <w:rPr>
          <w:rFonts w:hint="eastAsia" w:cs="Times New Roman"/>
          <w:b/>
          <w:bCs w:val="0"/>
          <w:color w:val="2F5597" w:themeColor="accent1" w:themeShade="BF"/>
          <w:kern w:val="0"/>
          <w:sz w:val="24"/>
          <w:szCs w:val="24"/>
          <w:lang w:val="en-US" w:eastAsia="zh-CN" w:bidi="ar-SA"/>
          <w14:glow w14:rad="0">
            <w14:srgbClr w14:val="000000"/>
          </w14:glow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reflection w14:blurRad="0" w14:stA="0" w14:stPos="0" w14:endA="0" w14:endPos="0" w14:dist="0" w14:dir="0" w14:fadeDir="0" w14:sx="0" w14:sy="0" w14:kx="0" w14:ky="0" w14:algn="none"/>
          <w14:props3d w14:extrusionH="0" w14:contourW="0" w14:prstMaterial="clear"/>
        </w:rPr>
      </w:pPr>
    </w:p>
    <w:p w14:paraId="1C57CD06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45" w:lineRule="atLeast"/>
        <w:ind w:left="0" w:right="0" w:firstLine="0"/>
        <w:rPr>
          <w:rFonts w:hint="eastAsia" w:ascii="微软雅黑" w:hAnsi="微软雅黑" w:eastAsia="微软雅黑" w:cs="微软雅黑"/>
          <w:b w:val="0"/>
          <w:i w:val="0"/>
          <w:caps w:val="0"/>
          <w:color w:val="474747"/>
          <w:spacing w:val="0"/>
          <w:sz w:val="24"/>
          <w:szCs w:val="24"/>
          <w:u w:val="none"/>
          <w:shd w:val="clear" w:fill="FFFFFF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DBCDB6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sz w:val="18"/>
        <w:szCs w:val="18"/>
        <w:lang w:val="en-US" w:eastAsia="zh-CN"/>
      </w:rPr>
    </w:pPr>
  </w:p>
  <w:p w14:paraId="53E4A504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jc w:val="both"/>
      <w:rPr>
        <w:rFonts w:hint="eastAsia" w:ascii="宋体" w:hAnsi="宋体" w:eastAsia="宋体" w:cs="宋体"/>
        <w:color w:val="181717" w:themeColor="background2" w:themeShade="1A"/>
        <w:sz w:val="18"/>
        <w:szCs w:val="18"/>
        <w:lang w:val="en-US" w:eastAsia="zh-CN"/>
      </w:rPr>
    </w:pPr>
  </w:p>
  <w:p w14:paraId="3B84CC80">
    <w:pPr>
      <w:pStyle w:val="5"/>
      <w:keepNext w:val="0"/>
      <w:keepLines w:val="0"/>
      <w:widowControl/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hd w:val="clear" w:fill="FFFFFF"/>
      <w:spacing w:before="120" w:beforeAutospacing="0" w:after="120" w:afterAutospacing="0"/>
      <w:ind w:left="0" w:right="0" w:firstLine="0"/>
      <w:rPr>
        <w:rFonts w:ascii="微软雅黑" w:hAnsi="微软雅黑" w:eastAsia="微软雅黑" w:cs="微软雅黑"/>
        <w:i w:val="0"/>
        <w:caps w:val="0"/>
        <w:color w:val="959FE7"/>
        <w:spacing w:val="0"/>
        <w:sz w:val="18"/>
        <w:szCs w:val="18"/>
        <w:lang w:val="en-US"/>
      </w:rPr>
    </w:pPr>
  </w:p>
  <w:p w14:paraId="5A2187D5">
    <w:pPr>
      <w:pStyle w:val="8"/>
      <w:ind w:firstLine="960" w:firstLineChars="400"/>
      <w:rPr>
        <w:rFonts w:hint="eastAsia" w:eastAsia="宋体"/>
        <w:sz w:val="24"/>
        <w:szCs w:val="24"/>
        <w:lang w:val="en-US" w:eastAsia="zh-CN"/>
        <w14:textOutline w14:w="12700" w14:cmpd="sng">
          <w14:solidFill>
            <w14:schemeClr w14:val="accent1">
              <w14:alpha w14:val="0"/>
            </w14:schemeClr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B7D55C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2" name="图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F72695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390D8990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ShanghaiHuxiIndustryCo.,Ltd.,</w:t>
    </w:r>
  </w:p>
  <w:p w14:paraId="1B0A22F1">
    <w:pPr>
      <w:pStyle w:val="9"/>
      <w:jc w:val="both"/>
    </w:pPr>
  </w:p>
  <w:p w14:paraId="0C6AC5C9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0BA1D2"/>
    <w:multiLevelType w:val="singleLevel"/>
    <w:tmpl w:val="110BA1D2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528D56C5"/>
    <w:multiLevelType w:val="singleLevel"/>
    <w:tmpl w:val="528D56C5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1D4206"/>
    <w:rsid w:val="0020067A"/>
    <w:rsid w:val="00227827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443E13"/>
    <w:rsid w:val="04E918A9"/>
    <w:rsid w:val="0692734F"/>
    <w:rsid w:val="07553E41"/>
    <w:rsid w:val="091F1204"/>
    <w:rsid w:val="0A184A29"/>
    <w:rsid w:val="0A366F57"/>
    <w:rsid w:val="0A965B96"/>
    <w:rsid w:val="10C02CE0"/>
    <w:rsid w:val="10E60B82"/>
    <w:rsid w:val="10F54849"/>
    <w:rsid w:val="11385EB2"/>
    <w:rsid w:val="117D1E52"/>
    <w:rsid w:val="12F323D9"/>
    <w:rsid w:val="13377D20"/>
    <w:rsid w:val="14EA10C7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0F4549"/>
    <w:rsid w:val="295A600F"/>
    <w:rsid w:val="2A602115"/>
    <w:rsid w:val="2A847618"/>
    <w:rsid w:val="2AC31D90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3347DFF"/>
    <w:rsid w:val="34121BAC"/>
    <w:rsid w:val="34321085"/>
    <w:rsid w:val="348346E6"/>
    <w:rsid w:val="348E7F12"/>
    <w:rsid w:val="35B92EB0"/>
    <w:rsid w:val="36585CBC"/>
    <w:rsid w:val="36E10A24"/>
    <w:rsid w:val="38B82A98"/>
    <w:rsid w:val="3A045A6B"/>
    <w:rsid w:val="3A542ACC"/>
    <w:rsid w:val="3ABF1760"/>
    <w:rsid w:val="3B3E12AA"/>
    <w:rsid w:val="3C5E63A4"/>
    <w:rsid w:val="3DA6127B"/>
    <w:rsid w:val="3DEB6E30"/>
    <w:rsid w:val="3E2B5E06"/>
    <w:rsid w:val="3EA403A4"/>
    <w:rsid w:val="40764144"/>
    <w:rsid w:val="410B44C7"/>
    <w:rsid w:val="43EA5F2F"/>
    <w:rsid w:val="442711AA"/>
    <w:rsid w:val="48D56357"/>
    <w:rsid w:val="498B526A"/>
    <w:rsid w:val="4A527F2C"/>
    <w:rsid w:val="4AA4627F"/>
    <w:rsid w:val="4ADC76DB"/>
    <w:rsid w:val="4CA81950"/>
    <w:rsid w:val="4D2B642D"/>
    <w:rsid w:val="4D4E77F2"/>
    <w:rsid w:val="4E0B1DE7"/>
    <w:rsid w:val="4E931B10"/>
    <w:rsid w:val="4FD73045"/>
    <w:rsid w:val="51C771E3"/>
    <w:rsid w:val="51F9487C"/>
    <w:rsid w:val="52EE746C"/>
    <w:rsid w:val="5452446D"/>
    <w:rsid w:val="563C7D3B"/>
    <w:rsid w:val="567A4548"/>
    <w:rsid w:val="57271C5E"/>
    <w:rsid w:val="576F688D"/>
    <w:rsid w:val="5826783E"/>
    <w:rsid w:val="58926505"/>
    <w:rsid w:val="58C6092D"/>
    <w:rsid w:val="58F34817"/>
    <w:rsid w:val="591C6583"/>
    <w:rsid w:val="594D1214"/>
    <w:rsid w:val="59AB3574"/>
    <w:rsid w:val="5B4B7D16"/>
    <w:rsid w:val="5BDA755D"/>
    <w:rsid w:val="5DDC6E97"/>
    <w:rsid w:val="5EBB1E52"/>
    <w:rsid w:val="5ED162F3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70593B86"/>
    <w:rsid w:val="71E561F0"/>
    <w:rsid w:val="73587C07"/>
    <w:rsid w:val="737F1A45"/>
    <w:rsid w:val="73974732"/>
    <w:rsid w:val="73F4346A"/>
    <w:rsid w:val="74A64C8E"/>
    <w:rsid w:val="7560343C"/>
    <w:rsid w:val="75E32C83"/>
    <w:rsid w:val="75EA64FF"/>
    <w:rsid w:val="76E353C5"/>
    <w:rsid w:val="77C15694"/>
    <w:rsid w:val="78323E75"/>
    <w:rsid w:val="78CC4852"/>
    <w:rsid w:val="78F84331"/>
    <w:rsid w:val="79D7587D"/>
    <w:rsid w:val="79FB6B36"/>
    <w:rsid w:val="7A61311F"/>
    <w:rsid w:val="7A664B08"/>
    <w:rsid w:val="7AA2317C"/>
    <w:rsid w:val="7B965710"/>
    <w:rsid w:val="7CAD3559"/>
    <w:rsid w:val="7CAE15D8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character" w:default="1" w:styleId="14">
    <w:name w:val="Default Paragraph Font"/>
    <w:autoRedefine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autoRedefine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autoRedefine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autoRedefine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autoRedefine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autoRedefine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79C3209-937D-4768-B014-3599857623A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525</Words>
  <Characters>602</Characters>
  <Lines>7</Lines>
  <Paragraphs>2</Paragraphs>
  <TotalTime>0</TotalTime>
  <ScaleCrop>false</ScaleCrop>
  <LinksUpToDate>false</LinksUpToDate>
  <CharactersWithSpaces>609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2026-06-09T06:56:44Z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EBE1E1628F9C4E77A439E4CADF4B123B_12</vt:lpwstr>
  </property>
  <property fmtid="{D5CDD505-2E9C-101B-9397-08002B2CF9AE}" pid="4" name="KSOTemplateDocerSaveRecord">
    <vt:lpwstr>eyJoZGlkIjoiNmNlZjQwZGI4ZDEwOWQxNzVjYzQ0MmQ0MzZiYjgzZTkiLCJ1c2VySWQiOiI0MzIzNDk0NzMifQ==</vt:lpwstr>
  </property>
</Properties>
</file>