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83F14">
      <w:pPr>
        <w:tabs>
          <w:tab w:val="left" w:pos="7161"/>
        </w:tabs>
        <w:jc w:val="center"/>
        <w:rPr>
          <w:rFonts w:hint="eastAsia" w:eastAsia="宋体"/>
          <w:sz w:val="30"/>
          <w:lang w:eastAsia="zh-CN"/>
        </w:rPr>
      </w:pPr>
      <w:bookmarkStart w:id="0" w:name="_GoBack"/>
      <w:r>
        <w:rPr>
          <w:rFonts w:hint="eastAsia" w:eastAsia="宋体"/>
          <w:sz w:val="30"/>
          <w:lang w:eastAsia="zh-CN"/>
        </w:rPr>
        <w:drawing>
          <wp:inline distT="0" distB="0" distL="114300" distR="114300">
            <wp:extent cx="3023235" cy="3023235"/>
            <wp:effectExtent l="0" t="0" r="0" b="5080"/>
            <wp:docPr id="5" name="图片 5" descr="HBF-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HBF-25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23235" cy="302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CDD0CED">
      <w:pPr>
        <w:tabs>
          <w:tab w:val="left" w:pos="7161"/>
        </w:tabs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1700530</wp:posOffset>
                </wp:positionH>
                <wp:positionV relativeFrom="paragraph">
                  <wp:posOffset>250825</wp:posOffset>
                </wp:positionV>
                <wp:extent cx="1828800" cy="1828800"/>
                <wp:effectExtent l="0" t="0" r="0" b="127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01DC2">
                            <w:pPr>
                              <w:tabs>
                                <w:tab w:val="left" w:pos="7161"/>
                              </w:tabs>
                              <w:jc w:val="center"/>
                              <w:rPr>
                                <w:rFonts w:hint="default" w:ascii="宋体" w:hAnsi="宋体" w:eastAsia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HBF-250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薄膜高速分散机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9pt;margin-top:19.75pt;height:144pt;width:144pt;mso-wrap-distance-bottom:0pt;mso-wrap-distance-top:0pt;mso-wrap-style:none;z-index:251662336;mso-width-relative:page;mso-height-relative:page;" filled="f" stroked="f" coordsize="21600,21600" o:gfxdata="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S+q+p2AAAAAoBAAAPAAAAAAAAAAEAIAAAACIAAABkcnMvZG93bnJl&#10;di54bWxQSwECFAAUAAAACACHTuJAIn0vtjYCAABlBAAADgAAAAAAAAABACAAAAAn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52A01DC2">
                      <w:pPr>
                        <w:tabs>
                          <w:tab w:val="left" w:pos="7161"/>
                        </w:tabs>
                        <w:jc w:val="center"/>
                        <w:rPr>
                          <w:rFonts w:hint="default" w:ascii="宋体" w:hAnsi="宋体" w:eastAsia="宋体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:lang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HBF-250</w:t>
                      </w:r>
                      <w:r>
                        <w:rPr>
                          <w:rFonts w:hint="eastAsia"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薄膜高速分散机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1099185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1pt;margin-top:86.55pt;height:0.3pt;width:415.15pt;z-index:-251655168;mso-width-relative:page;mso-height-relative:page;" filled="f" stroked="t" coordsize="21600,21600" o:gfxdata="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8xl8JtYAAAAJAQAADwAAAAAAAAABACAAAAAiAAAAZHJzL2Rvd25yZXYueG1sUEsBAhQAFAAAAAgA&#10;h07iQGm1HRHuAQAAtQMAAA4AAAAAAAAAAQAgAAAAJQEAAGRycy9lMm9Eb2MueG1sUEsFBgAAAAAG&#10;AAYAWQEAAIUFAAAAAA==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30"/>
          <w:szCs w:val="3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283845</wp:posOffset>
                </wp:positionV>
                <wp:extent cx="1792605" cy="62357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60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04D41D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25pt;margin-top:22.35pt;height:49.1pt;width:141.15pt;z-index:-251657216;mso-width-relative:page;mso-height-relative:page;" filled="f" stroked="f" coordsize="21600,21600" o:gfxdata="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zBocNsAAAAKAQAADwAAAAAAAAABACAAAAAiAAAAZHJz&#10;L2Rvd25yZXYueG1sUEsBAhQAFAAAAAgAh07iQCLqnjE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604D41D">
                      <w:pPr>
                        <w:rPr>
                          <w:b/>
                          <w:bCs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1、产品</w:t>
      </w:r>
      <w:r>
        <w:rPr>
          <w:rFonts w:hint="eastAsia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应用</w:t>
      </w:r>
    </w:p>
    <w:p w14:paraId="24B55842">
      <w:pPr>
        <w:adjustRightInd w:val="0"/>
        <w:spacing w:line="360" w:lineRule="auto"/>
        <w:ind w:firstLine="480" w:firstLineChars="20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薄膜式纳米分散机是一款新型旋转类分散设备，引入日本的薄膜旋回分散技术，其特殊的转子设计以及极高的转速上限，带来了远超传统设备的物料处理性能。凭借优异的性能，该分散技术推向市场之后，相继被锂离子电池浆料分散、燃料电池催化剂浆料分散等具有高分散需求的先端行业所采用，并受到广泛认可。</w:t>
      </w:r>
    </w:p>
    <w:p w14:paraId="6A187193">
      <w:pPr>
        <w:adjustRightInd w:val="0"/>
        <w:spacing w:line="360" w:lineRule="auto"/>
        <w:ind w:firstLine="480" w:firstLineChars="20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与传统的分散设备不同，薄膜式纳米分散机的转子采用特殊造型设计，运行时高速旋转，带动容器内物料随转，高速旋转的物料在强大离心力的作用下，紧贴容器内壁形成一个中空的旋转薄膜层，物料薄膜层与静止的容器内壁形成相对运动，使得粒子间产生巨大的剪切力，从而实现物料的微粒化处理。</w:t>
      </w:r>
    </w:p>
    <w:p w14:paraId="08CA3CC6">
      <w:pPr>
        <w:adjustRightInd w:val="0"/>
        <w:spacing w:line="360" w:lineRule="auto"/>
        <w:ind w:firstLine="480" w:firstLineChars="200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 </w:t>
      </w:r>
    </w:p>
    <w:p w14:paraId="4FA7E806">
      <w:pPr>
        <w:adjustRightInd w:val="0"/>
        <w:spacing w:line="360" w:lineRule="auto"/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6192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2、产品特点</w:t>
      </w:r>
    </w:p>
    <w:p w14:paraId="7385F7D9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出色的分散均匀性，带来优异的催化剂三相界面分布效果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;</w:t>
      </w:r>
    </w:p>
    <w:p w14:paraId="44174C73">
      <w:pPr>
        <w:keepNext w:val="0"/>
        <w:keepLines w:val="0"/>
        <w:widowControl/>
        <w:suppressLineNumbers w:val="0"/>
        <w:jc w:val="left"/>
        <w:rPr>
          <w:rFonts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温和的分散方式，降低对催化剂粒子的冲击、损伤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;</w:t>
      </w:r>
    </w:p>
    <w:p w14:paraId="3417861A">
      <w:pPr>
        <w:widowControl/>
        <w:shd w:val="clear" w:color="auto" w:fill="FFFFFF"/>
        <w:spacing w:line="360" w:lineRule="auto"/>
        <w:jc w:val="left"/>
        <w:rPr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高效分散，同时提升浆料稳定性，减少二次团聚、沉降。</w:t>
      </w:r>
    </w:p>
    <w:p w14:paraId="0920012C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color w:val="2F5597" w:themeColor="accent1" w:themeShade="BF"/>
          <w:sz w:val="24"/>
          <w:szCs w:val="24"/>
        </w:rPr>
      </w:pPr>
    </w:p>
    <w:p w14:paraId="153527A6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技术参数</w:t>
      </w:r>
    </w:p>
    <w:tbl>
      <w:tblPr>
        <w:tblStyle w:val="12"/>
        <w:tblW w:w="8522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0"/>
        <w:gridCol w:w="6282"/>
      </w:tblGrid>
      <w:tr w14:paraId="2A85660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D0AFF1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型号</w:t>
            </w:r>
          </w:p>
        </w:tc>
        <w:tc>
          <w:tcPr>
            <w:tcW w:w="628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DED9C1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eastAsia="zh-CN" w:bidi="ar"/>
              </w:rPr>
              <w:t>HBF-250</w:t>
            </w:r>
          </w:p>
        </w:tc>
      </w:tr>
      <w:tr w14:paraId="64B7E2A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67C864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货号</w:t>
            </w:r>
          </w:p>
        </w:tc>
        <w:tc>
          <w:tcPr>
            <w:tcW w:w="628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9B1890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/>
                <w:b w:val="0"/>
                <w:color w:val="2F5597" w:themeColor="accent1" w:themeShade="BF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/>
                <w:b w:val="0"/>
                <w:color w:val="2F5597" w:themeColor="accent1" w:themeShade="BF"/>
                <w:sz w:val="24"/>
                <w:szCs w:val="24"/>
                <w:shd w:val="clear" w:color="auto" w:fill="FFFFFF"/>
                <w:lang w:bidi="ar"/>
              </w:rPr>
              <w:t>1030042001</w:t>
            </w:r>
          </w:p>
        </w:tc>
      </w:tr>
      <w:tr w14:paraId="7F926CF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6D2105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单批次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处理量</w:t>
            </w:r>
          </w:p>
        </w:tc>
        <w:tc>
          <w:tcPr>
            <w:tcW w:w="62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0016C0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Times New Roman"/>
                <w:b w:val="0"/>
                <w:bCs/>
                <w:color w:val="2F5597" w:themeColor="accent1" w:themeShade="BF"/>
                <w:kern w:val="2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/>
                <w:b w:val="0"/>
                <w:color w:val="2F5597" w:themeColor="accent1" w:themeShade="BF"/>
                <w:sz w:val="24"/>
                <w:szCs w:val="24"/>
                <w:shd w:val="clear" w:color="auto" w:fill="FFFFFF"/>
                <w:lang w:val="en-US" w:eastAsia="zh-CN" w:bidi="ar"/>
              </w:rPr>
              <w:t>100~250</w:t>
            </w:r>
            <w:r>
              <w:rPr>
                <w:rStyle w:val="15"/>
                <w:rFonts w:hint="eastAsia" w:ascii="宋体" w:hAnsi="宋体"/>
                <w:b w:val="0"/>
                <w:color w:val="2F5597" w:themeColor="accent1" w:themeShade="BF"/>
                <w:sz w:val="24"/>
                <w:szCs w:val="24"/>
                <w:shd w:val="clear" w:color="auto" w:fill="FFFFFF"/>
                <w:lang w:bidi="ar"/>
              </w:rPr>
              <w:t>ml</w:t>
            </w:r>
            <w:r>
              <w:rPr>
                <w:rStyle w:val="15"/>
                <w:rFonts w:hint="eastAsia" w:ascii="宋体" w:hAnsi="宋体"/>
                <w:b w:val="0"/>
                <w:color w:val="2F5597" w:themeColor="accent1" w:themeShade="BF"/>
                <w:sz w:val="24"/>
                <w:szCs w:val="24"/>
                <w:shd w:val="clear" w:color="auto" w:fill="FFFFFF"/>
                <w:lang w:eastAsia="zh-CN" w:bidi="ar"/>
              </w:rPr>
              <w:t>（</w:t>
            </w:r>
            <w:r>
              <w:rPr>
                <w:rStyle w:val="15"/>
                <w:rFonts w:hint="eastAsia" w:ascii="宋体" w:hAnsi="宋体"/>
                <w:b w:val="0"/>
                <w:color w:val="2F5597" w:themeColor="accent1" w:themeShade="BF"/>
                <w:sz w:val="24"/>
                <w:szCs w:val="24"/>
                <w:shd w:val="clear" w:color="auto" w:fill="FFFFFF"/>
                <w:lang w:val="en-US" w:eastAsia="zh-CN" w:bidi="ar"/>
              </w:rPr>
              <w:t>批次</w:t>
            </w:r>
            <w:r>
              <w:rPr>
                <w:rStyle w:val="15"/>
                <w:rFonts w:hint="eastAsia" w:ascii="宋体" w:hAnsi="宋体"/>
                <w:b w:val="0"/>
                <w:color w:val="2F5597" w:themeColor="accent1" w:themeShade="BF"/>
                <w:sz w:val="24"/>
                <w:szCs w:val="24"/>
                <w:shd w:val="clear" w:color="auto" w:fill="FFFFFF"/>
                <w:lang w:eastAsia="zh-CN" w:bidi="ar"/>
              </w:rPr>
              <w:t>）、</w:t>
            </w:r>
            <w:r>
              <w:rPr>
                <w:rStyle w:val="15"/>
                <w:rFonts w:hint="eastAsia" w:ascii="宋体" w:hAnsi="宋体"/>
                <w:b w:val="0"/>
                <w:color w:val="2F5597" w:themeColor="accent1" w:themeShade="BF"/>
                <w:sz w:val="24"/>
                <w:szCs w:val="24"/>
                <w:shd w:val="clear" w:color="auto" w:fill="FFFFFF"/>
                <w:lang w:val="en-US" w:eastAsia="zh-CN" w:bidi="ar"/>
              </w:rPr>
              <w:t>30L/h</w:t>
            </w:r>
            <w:r>
              <w:rPr>
                <w:rStyle w:val="15"/>
                <w:rFonts w:hint="eastAsia" w:ascii="宋体" w:hAnsi="宋体"/>
                <w:b w:val="0"/>
                <w:color w:val="2F5597" w:themeColor="accent1" w:themeShade="BF"/>
                <w:sz w:val="24"/>
                <w:szCs w:val="24"/>
                <w:shd w:val="clear" w:color="auto" w:fill="FFFFFF"/>
                <w:lang w:eastAsia="zh-CN" w:bidi="ar"/>
              </w:rPr>
              <w:t>（</w:t>
            </w:r>
            <w:r>
              <w:rPr>
                <w:rStyle w:val="15"/>
                <w:rFonts w:hint="eastAsia" w:ascii="宋体" w:hAnsi="宋体"/>
                <w:b w:val="0"/>
                <w:color w:val="2F5597" w:themeColor="accent1" w:themeShade="BF"/>
                <w:sz w:val="24"/>
                <w:szCs w:val="24"/>
                <w:shd w:val="clear" w:color="auto" w:fill="FFFFFF"/>
                <w:lang w:val="en-US" w:eastAsia="zh-CN" w:bidi="ar"/>
              </w:rPr>
              <w:t>连续</w:t>
            </w:r>
            <w:r>
              <w:rPr>
                <w:rStyle w:val="15"/>
                <w:rFonts w:hint="eastAsia" w:ascii="宋体" w:hAnsi="宋体"/>
                <w:b w:val="0"/>
                <w:color w:val="2F5597" w:themeColor="accent1" w:themeShade="BF"/>
                <w:sz w:val="24"/>
                <w:szCs w:val="24"/>
                <w:shd w:val="clear" w:color="auto" w:fill="FFFFFF"/>
                <w:lang w:eastAsia="zh-CN" w:bidi="ar"/>
              </w:rPr>
              <w:t>）</w:t>
            </w:r>
          </w:p>
        </w:tc>
      </w:tr>
      <w:tr w14:paraId="6C42B0C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F1AF619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转速</w:t>
            </w:r>
          </w:p>
        </w:tc>
        <w:tc>
          <w:tcPr>
            <w:tcW w:w="628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231DE01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3000~10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000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rpm</w:t>
            </w:r>
          </w:p>
        </w:tc>
      </w:tr>
      <w:tr w14:paraId="7C4F35A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623978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马达功率</w:t>
            </w:r>
          </w:p>
        </w:tc>
        <w:tc>
          <w:tcPr>
            <w:tcW w:w="628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79B4F7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/>
                <w:b w:val="0"/>
                <w:color w:val="2F5597" w:themeColor="accent1" w:themeShade="BF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/>
                <w:b w:val="0"/>
                <w:color w:val="2F5597" w:themeColor="accent1" w:themeShade="BF"/>
                <w:sz w:val="24"/>
                <w:szCs w:val="24"/>
                <w:shd w:val="clear" w:color="auto" w:fill="FFFFFF"/>
                <w:lang w:val="en-US" w:eastAsia="zh-CN" w:bidi="ar"/>
              </w:rPr>
              <w:t>11</w:t>
            </w:r>
            <w:r>
              <w:rPr>
                <w:rStyle w:val="15"/>
                <w:rFonts w:hint="eastAsia" w:ascii="宋体" w:hAnsi="宋体"/>
                <w:b w:val="0"/>
                <w:color w:val="2F5597" w:themeColor="accent1" w:themeShade="BF"/>
                <w:sz w:val="24"/>
                <w:szCs w:val="24"/>
                <w:shd w:val="clear" w:color="auto" w:fill="FFFFFF"/>
                <w:lang w:bidi="ar"/>
              </w:rPr>
              <w:t>kW</w:t>
            </w:r>
          </w:p>
        </w:tc>
      </w:tr>
      <w:tr w14:paraId="1300C57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20A2C2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旋转方向</w:t>
            </w:r>
          </w:p>
        </w:tc>
        <w:tc>
          <w:tcPr>
            <w:tcW w:w="628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D4F16CB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/>
                <w:b w:val="0"/>
                <w:color w:val="2F5597" w:themeColor="accent1" w:themeShade="BF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/>
                <w:b w:val="0"/>
                <w:color w:val="2F5597" w:themeColor="accent1" w:themeShade="BF"/>
                <w:sz w:val="24"/>
                <w:szCs w:val="24"/>
                <w:shd w:val="clear" w:color="auto" w:fill="FFFFFF"/>
                <w:lang w:val="en-US" w:eastAsia="zh-CN" w:bidi="ar"/>
              </w:rPr>
              <w:t>自上向下看顺时针</w:t>
            </w:r>
          </w:p>
        </w:tc>
      </w:tr>
      <w:tr w14:paraId="1969DED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C996135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电源</w:t>
            </w:r>
          </w:p>
        </w:tc>
        <w:tc>
          <w:tcPr>
            <w:tcW w:w="628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9C709F2">
            <w:pPr>
              <w:widowControl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/>
                <w:b w:val="0"/>
                <w:color w:val="2F5597" w:themeColor="accent1" w:themeShade="BF"/>
                <w:sz w:val="24"/>
                <w:szCs w:val="24"/>
                <w:shd w:val="clear" w:color="auto" w:fill="FFFFFF"/>
                <w:lang w:val="en-US" w:eastAsia="zh-CN" w:bidi="ar"/>
              </w:rPr>
              <w:t>三相380V</w:t>
            </w:r>
          </w:p>
        </w:tc>
      </w:tr>
      <w:tr w14:paraId="0541401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0" w:type="dxa"/>
            <w:tcBorders>
              <w:tl2br w:val="nil"/>
              <w:tr2bl w:val="nil"/>
            </w:tcBorders>
            <w:vAlign w:val="center"/>
          </w:tcPr>
          <w:p w14:paraId="4305E4A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额定电流</w:t>
            </w:r>
          </w:p>
        </w:tc>
        <w:tc>
          <w:tcPr>
            <w:tcW w:w="6282" w:type="dxa"/>
            <w:tcBorders>
              <w:tl2br w:val="nil"/>
              <w:tr2bl w:val="nil"/>
            </w:tcBorders>
            <w:vAlign w:val="center"/>
          </w:tcPr>
          <w:p w14:paraId="2152FA3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/>
                <w:b w:val="0"/>
                <w:color w:val="2F5597" w:themeColor="accent1" w:themeShade="BF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/>
                <w:b w:val="0"/>
                <w:color w:val="2F5597" w:themeColor="accent1" w:themeShade="BF"/>
                <w:sz w:val="24"/>
                <w:szCs w:val="24"/>
                <w:shd w:val="clear" w:color="auto" w:fill="FFFFFF"/>
                <w:lang w:val="en-US" w:eastAsia="zh-CN" w:bidi="ar"/>
              </w:rPr>
              <w:t>22.5</w:t>
            </w:r>
            <w:r>
              <w:rPr>
                <w:rStyle w:val="15"/>
                <w:rFonts w:hint="eastAsia" w:ascii="宋体" w:hAnsi="宋体"/>
                <w:b w:val="0"/>
                <w:color w:val="2F5597" w:themeColor="accent1" w:themeShade="BF"/>
                <w:sz w:val="24"/>
                <w:szCs w:val="24"/>
                <w:shd w:val="clear" w:color="auto" w:fill="FFFFFF"/>
                <w:lang w:bidi="ar"/>
              </w:rPr>
              <w:t>A</w:t>
            </w:r>
          </w:p>
        </w:tc>
      </w:tr>
      <w:tr w14:paraId="5D933B9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0" w:type="dxa"/>
            <w:tcBorders>
              <w:tl2br w:val="nil"/>
              <w:tr2bl w:val="nil"/>
            </w:tcBorders>
            <w:vAlign w:val="center"/>
          </w:tcPr>
          <w:p w14:paraId="526D108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接液材质</w:t>
            </w:r>
          </w:p>
        </w:tc>
        <w:tc>
          <w:tcPr>
            <w:tcW w:w="6282" w:type="dxa"/>
            <w:tcBorders>
              <w:tl2br w:val="nil"/>
              <w:tr2bl w:val="nil"/>
            </w:tcBorders>
            <w:vAlign w:val="center"/>
          </w:tcPr>
          <w:p w14:paraId="76EF0DF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/>
                <w:b w:val="0"/>
                <w:color w:val="2F5597" w:themeColor="accent1" w:themeShade="BF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/>
                <w:b w:val="0"/>
                <w:color w:val="2F5597" w:themeColor="accent1" w:themeShade="BF"/>
                <w:sz w:val="24"/>
                <w:szCs w:val="24"/>
                <w:shd w:val="clear" w:color="auto" w:fill="FFFFFF"/>
                <w:lang w:bidi="ar"/>
              </w:rPr>
              <w:t>SUS316L</w:t>
            </w:r>
            <w:r>
              <w:rPr>
                <w:rStyle w:val="15"/>
                <w:rFonts w:hint="eastAsia" w:ascii="宋体" w:hAnsi="宋体"/>
                <w:b w:val="0"/>
                <w:color w:val="2F5597" w:themeColor="accent1" w:themeShade="BF"/>
                <w:sz w:val="24"/>
                <w:szCs w:val="24"/>
                <w:shd w:val="clear" w:color="auto" w:fill="FFFFFF"/>
                <w:lang w:val="en-US" w:eastAsia="zh-CN" w:bidi="ar"/>
              </w:rPr>
              <w:t>（或同等材质）</w:t>
            </w:r>
          </w:p>
        </w:tc>
      </w:tr>
      <w:tr w14:paraId="04EA838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0" w:type="dxa"/>
            <w:tcBorders>
              <w:tl2br w:val="nil"/>
              <w:tr2bl w:val="nil"/>
            </w:tcBorders>
            <w:vAlign w:val="center"/>
          </w:tcPr>
          <w:p w14:paraId="32CF8E6A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密封</w:t>
            </w:r>
          </w:p>
        </w:tc>
        <w:tc>
          <w:tcPr>
            <w:tcW w:w="6282" w:type="dxa"/>
            <w:tcBorders>
              <w:tl2br w:val="nil"/>
              <w:tr2bl w:val="nil"/>
            </w:tcBorders>
            <w:vAlign w:val="center"/>
          </w:tcPr>
          <w:p w14:paraId="59AF00A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非接触式密封</w:t>
            </w:r>
          </w:p>
        </w:tc>
      </w:tr>
      <w:tr w14:paraId="17FD67E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0" w:type="dxa"/>
            <w:tcBorders>
              <w:tl2br w:val="nil"/>
              <w:tr2bl w:val="nil"/>
            </w:tcBorders>
            <w:vAlign w:val="center"/>
          </w:tcPr>
          <w:p w14:paraId="3D0D364F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使用压力</w:t>
            </w:r>
          </w:p>
        </w:tc>
        <w:tc>
          <w:tcPr>
            <w:tcW w:w="6282" w:type="dxa"/>
            <w:tcBorders>
              <w:tl2br w:val="nil"/>
              <w:tr2bl w:val="nil"/>
            </w:tcBorders>
            <w:vAlign w:val="center"/>
          </w:tcPr>
          <w:p w14:paraId="07A3504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常压</w:t>
            </w:r>
          </w:p>
        </w:tc>
      </w:tr>
      <w:tr w14:paraId="103B8FD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0" w:type="dxa"/>
            <w:tcBorders>
              <w:tl2br w:val="nil"/>
              <w:tr2bl w:val="nil"/>
            </w:tcBorders>
            <w:vAlign w:val="center"/>
          </w:tcPr>
          <w:p w14:paraId="0B0761A4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使用温度</w:t>
            </w:r>
          </w:p>
        </w:tc>
        <w:tc>
          <w:tcPr>
            <w:tcW w:w="6282" w:type="dxa"/>
            <w:tcBorders>
              <w:tl2br w:val="nil"/>
              <w:tr2bl w:val="nil"/>
            </w:tcBorders>
            <w:vAlign w:val="center"/>
          </w:tcPr>
          <w:p w14:paraId="0EEA11F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常温</w:t>
            </w:r>
          </w:p>
        </w:tc>
      </w:tr>
      <w:tr w14:paraId="699C98F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0" w:type="dxa"/>
            <w:tcBorders>
              <w:tl2br w:val="nil"/>
              <w:tr2bl w:val="nil"/>
            </w:tcBorders>
            <w:vAlign w:val="center"/>
          </w:tcPr>
          <w:p w14:paraId="6746B62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容器规格</w:t>
            </w:r>
          </w:p>
        </w:tc>
        <w:tc>
          <w:tcPr>
            <w:tcW w:w="6282" w:type="dxa"/>
            <w:tcBorders>
              <w:tl2br w:val="nil"/>
              <w:tr2bl w:val="nil"/>
            </w:tcBorders>
            <w:vAlign w:val="center"/>
          </w:tcPr>
          <w:p w14:paraId="2E8D89CB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带冷却夹套，容器电动升降，翻转倾料</w:t>
            </w:r>
          </w:p>
        </w:tc>
      </w:tr>
      <w:tr w14:paraId="62170AE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240" w:type="dxa"/>
            <w:tcBorders>
              <w:tl2br w:val="nil"/>
              <w:tr2bl w:val="nil"/>
            </w:tcBorders>
            <w:vAlign w:val="center"/>
          </w:tcPr>
          <w:p w14:paraId="37BA257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重量</w:t>
            </w:r>
          </w:p>
        </w:tc>
        <w:tc>
          <w:tcPr>
            <w:tcW w:w="6282" w:type="dxa"/>
            <w:tcBorders>
              <w:tl2br w:val="nil"/>
              <w:tr2bl w:val="nil"/>
            </w:tcBorders>
            <w:vAlign w:val="center"/>
          </w:tcPr>
          <w:p w14:paraId="6DD6DA2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约500kg</w:t>
            </w:r>
          </w:p>
        </w:tc>
      </w:tr>
    </w:tbl>
    <w:p w14:paraId="28A7BB9F">
      <w:pPr>
        <w:widowControl/>
        <w:shd w:val="clear" w:color="auto" w:fill="FFFFFF"/>
        <w:spacing w:line="360" w:lineRule="auto"/>
        <w:jc w:val="left"/>
        <w:textAlignment w:val="center"/>
        <w:rPr>
          <w:rFonts w:ascii="宋体" w:hAnsi="宋体" w:cs="宋体"/>
          <w:color w:val="2F5597" w:themeColor="accent1" w:themeShade="BF"/>
          <w:kern w:val="0"/>
          <w:sz w:val="24"/>
          <w:szCs w:val="24"/>
          <w:shd w:val="clear" w:color="auto" w:fill="FFFFFF"/>
          <w:lang w:bidi="ar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E13CCE">
    <w:pPr>
      <w:pStyle w:val="5"/>
      <w:keepNext w:val="0"/>
      <w:keepLines w:val="0"/>
      <w:widowControl/>
      <w:shd w:val="clear" w:color="auto" w:fill="FFFFFF"/>
      <w:spacing w:before="120" w:after="120"/>
      <w:rPr>
        <w:rFonts w:ascii="宋体" w:hAnsi="宋体" w:eastAsia="宋体" w:cs="宋体"/>
        <w:color w:val="181717" w:themeColor="background2" w:themeShade="1A"/>
        <w:sz w:val="18"/>
        <w:szCs w:val="18"/>
      </w:rPr>
    </w:pPr>
  </w:p>
  <w:p w14:paraId="30E62BEF">
    <w:pPr>
      <w:pStyle w:val="5"/>
      <w:keepNext w:val="0"/>
      <w:keepLines w:val="0"/>
      <w:widowControl/>
      <w:shd w:val="clear" w:color="auto" w:fill="FFFFFF"/>
      <w:spacing w:before="120" w:after="120"/>
      <w:rPr>
        <w:rFonts w:ascii="微软雅黑" w:hAnsi="微软雅黑" w:eastAsia="微软雅黑" w:cs="微软雅黑"/>
        <w:color w:val="959FE7"/>
        <w:sz w:val="18"/>
        <w:szCs w:val="18"/>
      </w:rPr>
    </w:pPr>
  </w:p>
  <w:p w14:paraId="6FF929CE">
    <w:pPr>
      <w:pStyle w:val="8"/>
      <w:ind w:firstLine="960" w:firstLineChars="400"/>
      <w:rPr>
        <w:sz w:val="24"/>
        <w:szCs w:val="24"/>
        <w14:textOutline w14:w="12700" w14:cap="flat" w14:cmpd="sng" w14:algn="ctr">
          <w14:solidFill>
            <w14:schemeClr w14:val="accent1"/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07D7AC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269A30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7D3B1F1E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ShanghaiHuxiIndustryCo.,Ltd.,</w:t>
    </w:r>
  </w:p>
  <w:p w14:paraId="4344F382">
    <w:pPr>
      <w:pStyle w:val="9"/>
      <w:jc w:val="both"/>
    </w:pPr>
  </w:p>
  <w:p w14:paraId="01B46D68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7F499F"/>
    <w:multiLevelType w:val="singleLevel"/>
    <w:tmpl w:val="EA7F499F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0A30B6"/>
    <w:rsid w:val="00000422"/>
    <w:rsid w:val="00007BE3"/>
    <w:rsid w:val="000119AF"/>
    <w:rsid w:val="0002414F"/>
    <w:rsid w:val="00084F4D"/>
    <w:rsid w:val="00091A92"/>
    <w:rsid w:val="000A30B6"/>
    <w:rsid w:val="000C348E"/>
    <w:rsid w:val="000C75E3"/>
    <w:rsid w:val="000F0EE7"/>
    <w:rsid w:val="001C2F0D"/>
    <w:rsid w:val="0020067A"/>
    <w:rsid w:val="00227827"/>
    <w:rsid w:val="00236DCE"/>
    <w:rsid w:val="00262F28"/>
    <w:rsid w:val="002B6FFF"/>
    <w:rsid w:val="002C777E"/>
    <w:rsid w:val="002F2DF2"/>
    <w:rsid w:val="002F500E"/>
    <w:rsid w:val="002F74BD"/>
    <w:rsid w:val="00315F3A"/>
    <w:rsid w:val="00322A67"/>
    <w:rsid w:val="0033357C"/>
    <w:rsid w:val="003355DC"/>
    <w:rsid w:val="00343CBD"/>
    <w:rsid w:val="003775A9"/>
    <w:rsid w:val="003D498D"/>
    <w:rsid w:val="00400996"/>
    <w:rsid w:val="00427D6F"/>
    <w:rsid w:val="00496B10"/>
    <w:rsid w:val="004A2EE0"/>
    <w:rsid w:val="004E7E09"/>
    <w:rsid w:val="00535C95"/>
    <w:rsid w:val="0056688B"/>
    <w:rsid w:val="00580C1D"/>
    <w:rsid w:val="00592FED"/>
    <w:rsid w:val="00596893"/>
    <w:rsid w:val="005A5BBC"/>
    <w:rsid w:val="006665FA"/>
    <w:rsid w:val="006871DA"/>
    <w:rsid w:val="0069114D"/>
    <w:rsid w:val="00741072"/>
    <w:rsid w:val="007650E0"/>
    <w:rsid w:val="007A51F4"/>
    <w:rsid w:val="008052D3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AE399E"/>
    <w:rsid w:val="00AF7348"/>
    <w:rsid w:val="00B61697"/>
    <w:rsid w:val="00B839ED"/>
    <w:rsid w:val="00BC76BA"/>
    <w:rsid w:val="00BD42F1"/>
    <w:rsid w:val="00C47428"/>
    <w:rsid w:val="00C83139"/>
    <w:rsid w:val="00CA0C72"/>
    <w:rsid w:val="00CD1E6B"/>
    <w:rsid w:val="00D07C89"/>
    <w:rsid w:val="00D63CB2"/>
    <w:rsid w:val="00DA0404"/>
    <w:rsid w:val="00DA6A09"/>
    <w:rsid w:val="00E15CAB"/>
    <w:rsid w:val="00E2271A"/>
    <w:rsid w:val="00E54BE6"/>
    <w:rsid w:val="00E610B3"/>
    <w:rsid w:val="00E62DD8"/>
    <w:rsid w:val="00E900EE"/>
    <w:rsid w:val="00EC783E"/>
    <w:rsid w:val="00EE686A"/>
    <w:rsid w:val="00EF22FA"/>
    <w:rsid w:val="00EF49CC"/>
    <w:rsid w:val="00EF585C"/>
    <w:rsid w:val="00F8754C"/>
    <w:rsid w:val="00FA3922"/>
    <w:rsid w:val="00FE197F"/>
    <w:rsid w:val="017212D3"/>
    <w:rsid w:val="028973DC"/>
    <w:rsid w:val="02AA71DB"/>
    <w:rsid w:val="02D933F4"/>
    <w:rsid w:val="02F87F3E"/>
    <w:rsid w:val="033D40CA"/>
    <w:rsid w:val="03F258F4"/>
    <w:rsid w:val="04C27195"/>
    <w:rsid w:val="04E918A9"/>
    <w:rsid w:val="05DE64D7"/>
    <w:rsid w:val="06155345"/>
    <w:rsid w:val="0692734F"/>
    <w:rsid w:val="07553E41"/>
    <w:rsid w:val="08B844C4"/>
    <w:rsid w:val="091F1204"/>
    <w:rsid w:val="0A184A29"/>
    <w:rsid w:val="0A366F57"/>
    <w:rsid w:val="0A965B96"/>
    <w:rsid w:val="0D5108B5"/>
    <w:rsid w:val="10C02CE0"/>
    <w:rsid w:val="10DC64E1"/>
    <w:rsid w:val="10E60B82"/>
    <w:rsid w:val="11385EB2"/>
    <w:rsid w:val="11674ECD"/>
    <w:rsid w:val="117D1E52"/>
    <w:rsid w:val="11B33FB3"/>
    <w:rsid w:val="11B80688"/>
    <w:rsid w:val="11E64C96"/>
    <w:rsid w:val="12F323D9"/>
    <w:rsid w:val="13377D20"/>
    <w:rsid w:val="140576B4"/>
    <w:rsid w:val="15143A3F"/>
    <w:rsid w:val="158134F1"/>
    <w:rsid w:val="162626F1"/>
    <w:rsid w:val="163338FF"/>
    <w:rsid w:val="167836D1"/>
    <w:rsid w:val="16855545"/>
    <w:rsid w:val="16A71820"/>
    <w:rsid w:val="185B1CDB"/>
    <w:rsid w:val="18711AC3"/>
    <w:rsid w:val="1886336C"/>
    <w:rsid w:val="18E62F2B"/>
    <w:rsid w:val="1929165B"/>
    <w:rsid w:val="1976192B"/>
    <w:rsid w:val="1A4C7833"/>
    <w:rsid w:val="1AB80B3F"/>
    <w:rsid w:val="1AD53021"/>
    <w:rsid w:val="1B580433"/>
    <w:rsid w:val="1B871C86"/>
    <w:rsid w:val="1C4A28F1"/>
    <w:rsid w:val="1C8D4EFF"/>
    <w:rsid w:val="1DE275D5"/>
    <w:rsid w:val="1E486378"/>
    <w:rsid w:val="1E5624B6"/>
    <w:rsid w:val="1E772797"/>
    <w:rsid w:val="1F995798"/>
    <w:rsid w:val="2159429D"/>
    <w:rsid w:val="216A23E2"/>
    <w:rsid w:val="21C226FE"/>
    <w:rsid w:val="22E601DB"/>
    <w:rsid w:val="23243285"/>
    <w:rsid w:val="2395476C"/>
    <w:rsid w:val="241D3C4F"/>
    <w:rsid w:val="242E4DFE"/>
    <w:rsid w:val="246A0583"/>
    <w:rsid w:val="24AE6CFC"/>
    <w:rsid w:val="24E567F1"/>
    <w:rsid w:val="283A3AC2"/>
    <w:rsid w:val="28D301FC"/>
    <w:rsid w:val="295A600F"/>
    <w:rsid w:val="2A602115"/>
    <w:rsid w:val="2A847618"/>
    <w:rsid w:val="2AC31D90"/>
    <w:rsid w:val="2BE36FED"/>
    <w:rsid w:val="2C2B4AD0"/>
    <w:rsid w:val="2C936415"/>
    <w:rsid w:val="2C9B3ED6"/>
    <w:rsid w:val="2CBC35B2"/>
    <w:rsid w:val="2D270418"/>
    <w:rsid w:val="2D9E504D"/>
    <w:rsid w:val="2DBB4423"/>
    <w:rsid w:val="2DBF612A"/>
    <w:rsid w:val="2DEC7313"/>
    <w:rsid w:val="2E5E5B1C"/>
    <w:rsid w:val="2F096990"/>
    <w:rsid w:val="3013292D"/>
    <w:rsid w:val="30667F5E"/>
    <w:rsid w:val="312913D1"/>
    <w:rsid w:val="317B73D2"/>
    <w:rsid w:val="31D046B2"/>
    <w:rsid w:val="32494755"/>
    <w:rsid w:val="34121BAC"/>
    <w:rsid w:val="342310E4"/>
    <w:rsid w:val="348346E6"/>
    <w:rsid w:val="348E7F12"/>
    <w:rsid w:val="354872DA"/>
    <w:rsid w:val="35B2382C"/>
    <w:rsid w:val="35B92EB0"/>
    <w:rsid w:val="36585CBC"/>
    <w:rsid w:val="36E10A24"/>
    <w:rsid w:val="37C36B15"/>
    <w:rsid w:val="38373A3F"/>
    <w:rsid w:val="38BF6904"/>
    <w:rsid w:val="39201A7E"/>
    <w:rsid w:val="3A045A6B"/>
    <w:rsid w:val="3A542ACC"/>
    <w:rsid w:val="3ABF1760"/>
    <w:rsid w:val="3B741410"/>
    <w:rsid w:val="3BD009D1"/>
    <w:rsid w:val="3C5E63A4"/>
    <w:rsid w:val="3C6542D3"/>
    <w:rsid w:val="3DA6127B"/>
    <w:rsid w:val="3DEB6E30"/>
    <w:rsid w:val="3E2B5E06"/>
    <w:rsid w:val="40222BB7"/>
    <w:rsid w:val="40764144"/>
    <w:rsid w:val="40B0296F"/>
    <w:rsid w:val="410B44C7"/>
    <w:rsid w:val="414D154E"/>
    <w:rsid w:val="43EA5F2F"/>
    <w:rsid w:val="442711AA"/>
    <w:rsid w:val="449427E9"/>
    <w:rsid w:val="45E369C8"/>
    <w:rsid w:val="46647A66"/>
    <w:rsid w:val="47E90ACC"/>
    <w:rsid w:val="498B526A"/>
    <w:rsid w:val="4A527F2C"/>
    <w:rsid w:val="4A6E6488"/>
    <w:rsid w:val="4AA4627F"/>
    <w:rsid w:val="4ADC76DB"/>
    <w:rsid w:val="4CA81950"/>
    <w:rsid w:val="4D4E77F2"/>
    <w:rsid w:val="4DAA5641"/>
    <w:rsid w:val="4E931B10"/>
    <w:rsid w:val="4F87397A"/>
    <w:rsid w:val="4FD73045"/>
    <w:rsid w:val="51C771E3"/>
    <w:rsid w:val="51F9487C"/>
    <w:rsid w:val="52620557"/>
    <w:rsid w:val="52EE746C"/>
    <w:rsid w:val="53837051"/>
    <w:rsid w:val="5452446D"/>
    <w:rsid w:val="54D77948"/>
    <w:rsid w:val="553806E1"/>
    <w:rsid w:val="5540499B"/>
    <w:rsid w:val="563C7D3B"/>
    <w:rsid w:val="5642396D"/>
    <w:rsid w:val="567A4548"/>
    <w:rsid w:val="57225D22"/>
    <w:rsid w:val="576F688D"/>
    <w:rsid w:val="5826783E"/>
    <w:rsid w:val="58926505"/>
    <w:rsid w:val="58C6092D"/>
    <w:rsid w:val="58F34817"/>
    <w:rsid w:val="591C6583"/>
    <w:rsid w:val="594D1214"/>
    <w:rsid w:val="59AB3574"/>
    <w:rsid w:val="5A6D7E88"/>
    <w:rsid w:val="5B2777D6"/>
    <w:rsid w:val="5B916C9D"/>
    <w:rsid w:val="5BDA755D"/>
    <w:rsid w:val="5D454ECA"/>
    <w:rsid w:val="5DDC6E97"/>
    <w:rsid w:val="5E450BB3"/>
    <w:rsid w:val="5E4F4700"/>
    <w:rsid w:val="5FD87A4F"/>
    <w:rsid w:val="607225C9"/>
    <w:rsid w:val="60765F74"/>
    <w:rsid w:val="608B6872"/>
    <w:rsid w:val="61FA2450"/>
    <w:rsid w:val="62397BA1"/>
    <w:rsid w:val="624F31B6"/>
    <w:rsid w:val="626F460D"/>
    <w:rsid w:val="62737F03"/>
    <w:rsid w:val="62BD7680"/>
    <w:rsid w:val="63B80222"/>
    <w:rsid w:val="63D35A12"/>
    <w:rsid w:val="63FB48A3"/>
    <w:rsid w:val="64055351"/>
    <w:rsid w:val="64BB3B0A"/>
    <w:rsid w:val="65173864"/>
    <w:rsid w:val="66161010"/>
    <w:rsid w:val="66B141AA"/>
    <w:rsid w:val="67074C35"/>
    <w:rsid w:val="67B86FD5"/>
    <w:rsid w:val="68CC736B"/>
    <w:rsid w:val="69A05A18"/>
    <w:rsid w:val="6A0F7894"/>
    <w:rsid w:val="6AB4227F"/>
    <w:rsid w:val="6B3B6611"/>
    <w:rsid w:val="6B5251F4"/>
    <w:rsid w:val="6B6C7258"/>
    <w:rsid w:val="6BA7011A"/>
    <w:rsid w:val="6CC975CD"/>
    <w:rsid w:val="6DFB560B"/>
    <w:rsid w:val="6E920CE8"/>
    <w:rsid w:val="6EB04D47"/>
    <w:rsid w:val="6F17421F"/>
    <w:rsid w:val="6F6A3147"/>
    <w:rsid w:val="6F7B3153"/>
    <w:rsid w:val="6F975B11"/>
    <w:rsid w:val="71E561F0"/>
    <w:rsid w:val="72A11BCE"/>
    <w:rsid w:val="73587C07"/>
    <w:rsid w:val="737F1A45"/>
    <w:rsid w:val="73974732"/>
    <w:rsid w:val="74A64C8E"/>
    <w:rsid w:val="74B43457"/>
    <w:rsid w:val="75EA64FF"/>
    <w:rsid w:val="760B5425"/>
    <w:rsid w:val="76E353C5"/>
    <w:rsid w:val="77C15694"/>
    <w:rsid w:val="77E3618D"/>
    <w:rsid w:val="78323E75"/>
    <w:rsid w:val="78937864"/>
    <w:rsid w:val="78F84331"/>
    <w:rsid w:val="79AF3739"/>
    <w:rsid w:val="79FB6B36"/>
    <w:rsid w:val="7A61311F"/>
    <w:rsid w:val="7A664B08"/>
    <w:rsid w:val="7AA2317C"/>
    <w:rsid w:val="7B3236CF"/>
    <w:rsid w:val="7B5C754F"/>
    <w:rsid w:val="7B965710"/>
    <w:rsid w:val="7CAD3559"/>
    <w:rsid w:val="7CC0084B"/>
    <w:rsid w:val="7CFD67BA"/>
    <w:rsid w:val="7D806002"/>
    <w:rsid w:val="7E15757F"/>
    <w:rsid w:val="7E66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autoRedefine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autoRedefine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qFormat/>
    <w:uiPriority w:val="0"/>
    <w:pPr>
      <w:jc w:val="center"/>
    </w:p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AD2F88-106B-4C3B-A0AB-647588B34F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475</Words>
  <Characters>534</Characters>
  <Lines>3</Lines>
  <Paragraphs>1</Paragraphs>
  <TotalTime>0</TotalTime>
  <ScaleCrop>false</ScaleCrop>
  <LinksUpToDate>false</LinksUpToDate>
  <CharactersWithSpaces>538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2020-12-31T01:45:00Z</dcterms:created>
  <dc:creator>孙长娟</dc:creator>
  <cp:lastModifiedBy>五七</cp:lastModifiedBy>
  <dcterms:modified xsi:type="dcterms:W3CDTF">2026-08-26T04:00:29Z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RubyTemplateID" linkTarget="0">
    <vt:lpwstr>6</vt:lpwstr>
  </property>
  <property fmtid="{D5CDD505-2E9C-101B-9397-08002B2CF9AE}" pid="4" name="ICV">
    <vt:lpwstr>E4EE0D6A8E1F420884BCC608251F321B</vt:lpwstr>
  </property>
  <property fmtid="{D5CDD505-2E9C-101B-9397-08002B2CF9AE}" pid="5" name="KSOTemplateDocerSaveRecord">
    <vt:lpwstr>eyJoZGlkIjoiNmNlZjQwZGI4ZDEwOWQxNzVjYzQ0MmQ0MzZiYjgzZTkiLCJ1c2VySWQiOiI0MzIzNDk0NzMifQ==</vt:lpwstr>
  </property>
</Properties>
</file>